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0D21" w14:textId="77777777" w:rsidR="002C7515" w:rsidRPr="002C7515" w:rsidRDefault="002C7515" w:rsidP="002C7515">
      <w:pPr>
        <w:kinsoku w:val="0"/>
        <w:overflowPunct w:val="0"/>
        <w:autoSpaceDE w:val="0"/>
        <w:autoSpaceDN w:val="0"/>
        <w:spacing w:after="240" w:line="400" w:lineRule="exact"/>
        <w:ind w:left="728" w:hanging="728"/>
        <w:jc w:val="both"/>
        <w:rPr>
          <w:rFonts w:ascii="Times New Roman" w:eastAsia="華康楷書體W7" w:hAnsi="Times New Roman" w:cs="Times New Roman"/>
          <w:noProof/>
          <w:color w:val="000000"/>
          <w:sz w:val="36"/>
          <w:szCs w:val="36"/>
          <w:lang w:val="x-none" w:eastAsia="x-none"/>
        </w:rPr>
      </w:pPr>
      <w:r w:rsidRPr="002C7515">
        <w:rPr>
          <w:rFonts w:ascii="Times New Roman" w:eastAsia="華康楷書體W7" w:hAnsi="Times New Roman" w:cs="Times New Roman"/>
          <w:noProof/>
          <w:color w:val="000000"/>
          <w:sz w:val="36"/>
          <w:szCs w:val="36"/>
          <w:lang w:val="x-none" w:eastAsia="x-none"/>
        </w:rPr>
        <w:t>勞資關係</w:t>
      </w:r>
    </w:p>
    <w:p w14:paraId="34B47039" w14:textId="77777777" w:rsidR="002C7515" w:rsidRPr="002C7515" w:rsidRDefault="002C7515" w:rsidP="002C7515">
      <w:pPr>
        <w:spacing w:after="120" w:line="400" w:lineRule="exact"/>
        <w:ind w:left="1092" w:hanging="532"/>
        <w:rPr>
          <w:rFonts w:ascii="華康粗黑體" w:eastAsia="華康粗黑體" w:hAnsi="Times New Roman" w:cs="Times New Roman"/>
          <w:color w:val="000000"/>
          <w:sz w:val="28"/>
          <w:szCs w:val="20"/>
        </w:rPr>
      </w:pPr>
      <w:r w:rsidRPr="002C7515">
        <w:rPr>
          <w:rFonts w:ascii="華康粗黑體" w:eastAsia="華康粗黑體" w:hAnsi="Times New Roman" w:cs="Times New Roman" w:hint="eastAsia"/>
          <w:color w:val="000000"/>
          <w:sz w:val="28"/>
          <w:szCs w:val="20"/>
        </w:rPr>
        <w:t>(</w:t>
      </w:r>
      <w:proofErr w:type="gramStart"/>
      <w:r w:rsidRPr="002C7515">
        <w:rPr>
          <w:rFonts w:ascii="華康粗黑體" w:eastAsia="華康粗黑體" w:hAnsi="Times New Roman" w:cs="Times New Roman" w:hint="eastAsia"/>
          <w:color w:val="000000"/>
          <w:sz w:val="28"/>
          <w:szCs w:val="20"/>
        </w:rPr>
        <w:t>一</w:t>
      </w:r>
      <w:proofErr w:type="gramEnd"/>
      <w:r w:rsidRPr="002C7515">
        <w:rPr>
          <w:rFonts w:ascii="華康粗黑體" w:eastAsia="華康粗黑體" w:hAnsi="Times New Roman" w:cs="Times New Roman" w:hint="eastAsia"/>
          <w:color w:val="000000"/>
          <w:sz w:val="28"/>
          <w:szCs w:val="20"/>
        </w:rPr>
        <w:t>)</w:t>
      </w:r>
      <w:r w:rsidRPr="002C7515">
        <w:rPr>
          <w:rFonts w:ascii="華康粗黑體" w:eastAsia="華康粗黑體" w:hAnsi="Times New Roman" w:cs="Times New Roman"/>
          <w:color w:val="000000"/>
          <w:sz w:val="28"/>
          <w:szCs w:val="20"/>
        </w:rPr>
        <w:t>公司各項員工福利措施、進修、訓練、退休制度與其實施狀況，以及勞資間之協議與各項員工權益維護措施情形：</w:t>
      </w:r>
    </w:p>
    <w:p w14:paraId="09420E41" w14:textId="77777777" w:rsidR="002C7515" w:rsidRPr="002C7515" w:rsidRDefault="002C7515" w:rsidP="002C7515">
      <w:pPr>
        <w:spacing w:after="60" w:line="360" w:lineRule="exact"/>
        <w:ind w:left="1302" w:hanging="210"/>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1.</w:t>
      </w:r>
      <w:r w:rsidRPr="002C7515">
        <w:rPr>
          <w:rFonts w:ascii="Times New Roman" w:eastAsia="標楷體" w:hAnsi="標楷體" w:cs="Times New Roman"/>
          <w:color w:val="000000"/>
          <w:sz w:val="28"/>
          <w:szCs w:val="24"/>
        </w:rPr>
        <w:t>福利措施與其實施狀況</w:t>
      </w:r>
    </w:p>
    <w:p w14:paraId="46299B65" w14:textId="77777777" w:rsidR="002C7515" w:rsidRPr="002C7515" w:rsidRDefault="002C7515" w:rsidP="002C7515">
      <w:pPr>
        <w:spacing w:after="60" w:line="360" w:lineRule="exact"/>
        <w:ind w:left="1302"/>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sym w:font="Wingdings" w:char="F081"/>
      </w:r>
      <w:r w:rsidRPr="002C7515">
        <w:rPr>
          <w:rFonts w:ascii="Times New Roman" w:eastAsia="標楷體" w:hAnsi="標楷體" w:cs="Times New Roman"/>
          <w:color w:val="000000"/>
          <w:sz w:val="28"/>
          <w:szCs w:val="24"/>
        </w:rPr>
        <w:t>慶生及生日禮金</w:t>
      </w:r>
    </w:p>
    <w:p w14:paraId="453B4BFB" w14:textId="77777777" w:rsidR="002C7515" w:rsidRPr="002C7515" w:rsidRDefault="002C7515" w:rsidP="002C7515">
      <w:pPr>
        <w:spacing w:after="60" w:line="360" w:lineRule="exact"/>
        <w:ind w:left="1302"/>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sym w:font="Wingdings" w:char="F082"/>
      </w:r>
      <w:r w:rsidRPr="002C7515">
        <w:rPr>
          <w:rFonts w:ascii="Times New Roman" w:eastAsia="標楷體" w:hAnsi="標楷體" w:cs="Times New Roman"/>
          <w:color w:val="000000"/>
          <w:sz w:val="28"/>
          <w:szCs w:val="24"/>
        </w:rPr>
        <w:t>年度員工旅遊</w:t>
      </w:r>
    </w:p>
    <w:p w14:paraId="0EDEB14E" w14:textId="77777777" w:rsidR="002C7515" w:rsidRPr="002C7515" w:rsidRDefault="002C7515" w:rsidP="002C7515">
      <w:pPr>
        <w:spacing w:after="60" w:line="360" w:lineRule="exact"/>
        <w:ind w:left="1302"/>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sym w:font="Wingdings" w:char="F083"/>
      </w:r>
      <w:r w:rsidRPr="002C7515">
        <w:rPr>
          <w:rFonts w:ascii="Times New Roman" w:eastAsia="標楷體" w:hAnsi="標楷體" w:cs="Times New Roman"/>
          <w:color w:val="000000"/>
          <w:sz w:val="28"/>
          <w:szCs w:val="24"/>
        </w:rPr>
        <w:t>三節禮品、婚喪喜慶禮金</w:t>
      </w:r>
    </w:p>
    <w:p w14:paraId="1044BE01" w14:textId="77777777" w:rsidR="002C7515" w:rsidRPr="002C7515" w:rsidRDefault="002C7515" w:rsidP="002C7515">
      <w:pPr>
        <w:spacing w:after="60" w:line="360" w:lineRule="exact"/>
        <w:ind w:left="1302"/>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sym w:font="Wingdings" w:char="F084"/>
      </w:r>
      <w:r w:rsidRPr="002C7515">
        <w:rPr>
          <w:rFonts w:ascii="Times New Roman" w:eastAsia="標楷體" w:hAnsi="標楷體" w:cs="Times New Roman"/>
          <w:color w:val="000000"/>
          <w:sz w:val="28"/>
          <w:szCs w:val="24"/>
        </w:rPr>
        <w:t>年終聚餐</w:t>
      </w:r>
    </w:p>
    <w:p w14:paraId="3839D679" w14:textId="77777777" w:rsidR="002C7515" w:rsidRPr="002C7515" w:rsidRDefault="002C7515" w:rsidP="002C7515">
      <w:pPr>
        <w:spacing w:after="60" w:line="360" w:lineRule="exact"/>
        <w:ind w:left="1302"/>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sym w:font="Wingdings" w:char="F085"/>
      </w:r>
      <w:r w:rsidRPr="002C7515">
        <w:rPr>
          <w:rFonts w:ascii="Times New Roman" w:eastAsia="標楷體" w:hAnsi="標楷體" w:cs="Times New Roman"/>
          <w:color w:val="000000"/>
          <w:sz w:val="28"/>
          <w:szCs w:val="24"/>
        </w:rPr>
        <w:t>制服</w:t>
      </w:r>
    </w:p>
    <w:p w14:paraId="1DE5BCF2" w14:textId="77777777" w:rsidR="002C7515" w:rsidRPr="002C7515" w:rsidRDefault="002C7515" w:rsidP="002C7515">
      <w:pPr>
        <w:spacing w:after="60" w:line="360" w:lineRule="exact"/>
        <w:ind w:left="1302"/>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sym w:font="Wingdings" w:char="F086"/>
      </w:r>
      <w:r w:rsidRPr="002C7515">
        <w:rPr>
          <w:rFonts w:ascii="Times New Roman" w:eastAsia="標楷體" w:hAnsi="標楷體" w:cs="Times New Roman"/>
          <w:color w:val="000000"/>
          <w:sz w:val="28"/>
          <w:szCs w:val="24"/>
        </w:rPr>
        <w:t>教育訓練</w:t>
      </w:r>
    </w:p>
    <w:p w14:paraId="118E535A" w14:textId="77777777" w:rsidR="002C7515" w:rsidRPr="002C7515" w:rsidRDefault="002C7515" w:rsidP="002C7515">
      <w:pPr>
        <w:spacing w:after="60" w:line="360" w:lineRule="exact"/>
        <w:ind w:left="1302"/>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sym w:font="Wingdings" w:char="F087"/>
      </w:r>
      <w:r w:rsidRPr="002C7515">
        <w:rPr>
          <w:rFonts w:ascii="Times New Roman" w:eastAsia="標楷體" w:hAnsi="標楷體" w:cs="Times New Roman" w:hint="eastAsia"/>
          <w:color w:val="000000"/>
          <w:sz w:val="28"/>
          <w:szCs w:val="24"/>
        </w:rPr>
        <w:t>生育補助</w:t>
      </w:r>
      <w:r w:rsidRPr="002C7515">
        <w:rPr>
          <w:rFonts w:ascii="Times New Roman" w:eastAsia="標楷體" w:hAnsi="標楷體" w:cs="Times New Roman"/>
          <w:color w:val="000000"/>
          <w:sz w:val="28"/>
          <w:szCs w:val="24"/>
        </w:rPr>
        <w:t>、獎學金補助、資深員工表揚</w:t>
      </w:r>
    </w:p>
    <w:p w14:paraId="1C206975" w14:textId="77777777" w:rsidR="002C7515" w:rsidRPr="002C7515" w:rsidRDefault="002C7515" w:rsidP="002C7515">
      <w:pPr>
        <w:spacing w:after="60" w:line="360" w:lineRule="exact"/>
        <w:ind w:left="1302"/>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sym w:font="Wingdings" w:char="F088"/>
      </w:r>
      <w:r w:rsidRPr="002C7515">
        <w:rPr>
          <w:rFonts w:ascii="Times New Roman" w:eastAsia="標楷體" w:hAnsi="標楷體" w:cs="Times New Roman"/>
          <w:color w:val="000000"/>
          <w:sz w:val="28"/>
          <w:szCs w:val="24"/>
        </w:rPr>
        <w:t>股票認購及分紅、年終獎金</w:t>
      </w:r>
    </w:p>
    <w:p w14:paraId="227A651A" w14:textId="77777777" w:rsidR="002C7515" w:rsidRPr="002C7515" w:rsidRDefault="002C7515" w:rsidP="002C7515">
      <w:pPr>
        <w:spacing w:after="60" w:line="360" w:lineRule="exact"/>
        <w:ind w:left="1302"/>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sym w:font="Wingdings" w:char="F089"/>
      </w:r>
      <w:r w:rsidRPr="002C7515">
        <w:rPr>
          <w:rFonts w:ascii="Times New Roman" w:eastAsia="標楷體" w:hAnsi="標楷體" w:cs="Times New Roman"/>
          <w:color w:val="000000"/>
          <w:sz w:val="28"/>
          <w:szCs w:val="24"/>
        </w:rPr>
        <w:t>勞保</w:t>
      </w:r>
      <w:r w:rsidRPr="002C7515">
        <w:rPr>
          <w:rFonts w:ascii="Times New Roman" w:eastAsia="標楷體" w:hAnsi="標楷體" w:cs="Times New Roman"/>
          <w:color w:val="000000"/>
          <w:sz w:val="28"/>
          <w:szCs w:val="24"/>
        </w:rPr>
        <w:t>/</w:t>
      </w:r>
      <w:r w:rsidRPr="002C7515">
        <w:rPr>
          <w:rFonts w:ascii="Times New Roman" w:eastAsia="標楷體" w:hAnsi="標楷體" w:cs="Times New Roman"/>
          <w:color w:val="000000"/>
          <w:sz w:val="28"/>
          <w:szCs w:val="24"/>
        </w:rPr>
        <w:t>健保</w:t>
      </w:r>
      <w:r w:rsidRPr="002C7515">
        <w:rPr>
          <w:rFonts w:ascii="Times New Roman" w:eastAsia="標楷體" w:hAnsi="標楷體" w:cs="Times New Roman"/>
          <w:color w:val="000000"/>
          <w:sz w:val="28"/>
          <w:szCs w:val="24"/>
        </w:rPr>
        <w:t>/</w:t>
      </w:r>
      <w:r w:rsidRPr="002C7515">
        <w:rPr>
          <w:rFonts w:ascii="Times New Roman" w:eastAsia="標楷體" w:hAnsi="標楷體" w:cs="Times New Roman"/>
          <w:color w:val="000000"/>
          <w:sz w:val="28"/>
          <w:szCs w:val="24"/>
        </w:rPr>
        <w:t>團保、健康檢查</w:t>
      </w:r>
      <w:r w:rsidRPr="002C7515">
        <w:rPr>
          <w:rFonts w:ascii="Times New Roman" w:eastAsia="標楷體" w:hAnsi="標楷體" w:cs="Times New Roman" w:hint="eastAsia"/>
          <w:color w:val="000000"/>
          <w:sz w:val="28"/>
          <w:szCs w:val="24"/>
        </w:rPr>
        <w:t xml:space="preserve"> </w:t>
      </w:r>
    </w:p>
    <w:p w14:paraId="4C8567BE" w14:textId="77777777" w:rsidR="002C7515" w:rsidRPr="002C7515" w:rsidRDefault="002C7515" w:rsidP="002C7515">
      <w:pPr>
        <w:spacing w:after="60" w:line="360" w:lineRule="exact"/>
        <w:ind w:left="1302" w:hanging="210"/>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2.</w:t>
      </w:r>
      <w:r w:rsidRPr="002C7515">
        <w:rPr>
          <w:rFonts w:ascii="Times New Roman" w:eastAsia="標楷體" w:hAnsi="標楷體" w:cs="Times New Roman"/>
          <w:color w:val="000000"/>
          <w:sz w:val="28"/>
          <w:szCs w:val="24"/>
        </w:rPr>
        <w:t>公司進修及訓練制度與其實施狀況</w:t>
      </w:r>
    </w:p>
    <w:p w14:paraId="34E9C0EF" w14:textId="77777777" w:rsidR="002C7515" w:rsidRPr="002C7515" w:rsidRDefault="002C7515" w:rsidP="002C7515">
      <w:pPr>
        <w:spacing w:after="60" w:line="360" w:lineRule="exact"/>
        <w:ind w:left="1302" w:firstLine="560"/>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t>本公司訓練課程區分為外部訓練與自辦訓練二種，結訓後需填寫心得報告。公司除充分落實各項訓練措施，並重視學員受訓期間的意見反映外，同時也會根據員工個人教育訓練資料，作為未來升遷、調職的參考。</w:t>
      </w:r>
    </w:p>
    <w:p w14:paraId="069B73A9" w14:textId="77777777" w:rsidR="002C7515" w:rsidRPr="002C7515" w:rsidRDefault="002C7515" w:rsidP="002C7515">
      <w:pPr>
        <w:kinsoku w:val="0"/>
        <w:autoSpaceDE w:val="0"/>
        <w:autoSpaceDN w:val="0"/>
        <w:adjustRightInd w:val="0"/>
        <w:snapToGrid w:val="0"/>
        <w:spacing w:line="320" w:lineRule="exact"/>
        <w:ind w:leftChars="500" w:left="1200" w:firstLineChars="200" w:firstLine="560"/>
        <w:jc w:val="right"/>
        <w:textAlignment w:val="center"/>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11</w:t>
      </w:r>
      <w:r w:rsidRPr="002C7515">
        <w:rPr>
          <w:rFonts w:ascii="Times New Roman" w:eastAsia="標楷體" w:hAnsi="標楷體" w:cs="Times New Roman"/>
          <w:color w:val="000000"/>
          <w:sz w:val="28"/>
          <w:szCs w:val="24"/>
        </w:rPr>
        <w:t>1</w:t>
      </w:r>
      <w:r w:rsidRPr="002C7515">
        <w:rPr>
          <w:rFonts w:ascii="Times New Roman" w:eastAsia="標楷體" w:hAnsi="標楷體" w:cs="Times New Roman"/>
          <w:color w:val="000000"/>
          <w:sz w:val="28"/>
          <w:szCs w:val="24"/>
        </w:rPr>
        <w:t>年</w:t>
      </w:r>
      <w:r w:rsidRPr="002C7515">
        <w:rPr>
          <w:rFonts w:ascii="Times New Roman" w:eastAsia="標楷體" w:hAnsi="標楷體" w:cs="Times New Roman" w:hint="eastAsia"/>
          <w:color w:val="000000"/>
          <w:sz w:val="28"/>
          <w:szCs w:val="24"/>
        </w:rPr>
        <w:t>12</w:t>
      </w:r>
      <w:r w:rsidRPr="002C7515">
        <w:rPr>
          <w:rFonts w:ascii="Times New Roman" w:eastAsia="標楷體" w:hAnsi="標楷體" w:cs="Times New Roman"/>
          <w:color w:val="000000"/>
          <w:sz w:val="28"/>
          <w:szCs w:val="24"/>
        </w:rPr>
        <w:t>月</w:t>
      </w:r>
      <w:r w:rsidRPr="002C7515">
        <w:rPr>
          <w:rFonts w:ascii="Times New Roman" w:eastAsia="標楷體" w:hAnsi="標楷體" w:cs="Times New Roman" w:hint="eastAsia"/>
          <w:color w:val="000000"/>
          <w:sz w:val="28"/>
          <w:szCs w:val="24"/>
        </w:rPr>
        <w:t>31</w:t>
      </w:r>
      <w:r w:rsidRPr="002C7515">
        <w:rPr>
          <w:rFonts w:ascii="Times New Roman" w:eastAsia="標楷體" w:hAnsi="標楷體" w:cs="Times New Roman"/>
          <w:color w:val="000000"/>
          <w:sz w:val="28"/>
          <w:szCs w:val="24"/>
        </w:rPr>
        <w:t>日</w:t>
      </w:r>
      <w:r w:rsidRPr="002C7515">
        <w:rPr>
          <w:rFonts w:ascii="Times New Roman" w:eastAsia="標楷體" w:hAnsi="標楷體" w:cs="Times New Roman" w:hint="eastAsia"/>
          <w:color w:val="000000"/>
          <w:sz w:val="28"/>
          <w:szCs w:val="24"/>
        </w:rPr>
        <w:t xml:space="preserve"> </w:t>
      </w:r>
    </w:p>
    <w:tbl>
      <w:tblPr>
        <w:tblW w:w="0" w:type="auto"/>
        <w:tblInd w:w="13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92"/>
        <w:gridCol w:w="1301"/>
        <w:gridCol w:w="1330"/>
        <w:gridCol w:w="1719"/>
        <w:gridCol w:w="1655"/>
      </w:tblGrid>
      <w:tr w:rsidR="002C7515" w:rsidRPr="002C7515" w14:paraId="2BB6A562" w14:textId="77777777" w:rsidTr="00FD5D78">
        <w:tc>
          <w:tcPr>
            <w:tcW w:w="1792" w:type="dxa"/>
            <w:shd w:val="clear" w:color="auto" w:fill="auto"/>
          </w:tcPr>
          <w:p w14:paraId="14B0BDEA" w14:textId="77777777" w:rsidR="002C7515" w:rsidRPr="002C7515" w:rsidRDefault="002C7515" w:rsidP="002C7515">
            <w:pPr>
              <w:kinsoku w:val="0"/>
              <w:autoSpaceDE w:val="0"/>
              <w:autoSpaceDN w:val="0"/>
              <w:adjustRightInd w:val="0"/>
              <w:snapToGrid w:val="0"/>
              <w:spacing w:line="360" w:lineRule="exact"/>
              <w:jc w:val="both"/>
              <w:textAlignment w:val="center"/>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項目</w:t>
            </w:r>
          </w:p>
        </w:tc>
        <w:tc>
          <w:tcPr>
            <w:tcW w:w="1301" w:type="dxa"/>
            <w:shd w:val="clear" w:color="auto" w:fill="auto"/>
          </w:tcPr>
          <w:p w14:paraId="5B72713B" w14:textId="77777777" w:rsidR="002C7515" w:rsidRPr="002C7515" w:rsidRDefault="002C7515" w:rsidP="002C7515">
            <w:pPr>
              <w:kinsoku w:val="0"/>
              <w:autoSpaceDE w:val="0"/>
              <w:autoSpaceDN w:val="0"/>
              <w:adjustRightInd w:val="0"/>
              <w:snapToGrid w:val="0"/>
              <w:spacing w:line="360" w:lineRule="exact"/>
              <w:jc w:val="center"/>
              <w:textAlignment w:val="center"/>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班次別</w:t>
            </w:r>
          </w:p>
        </w:tc>
        <w:tc>
          <w:tcPr>
            <w:tcW w:w="1330" w:type="dxa"/>
            <w:shd w:val="clear" w:color="auto" w:fill="auto"/>
          </w:tcPr>
          <w:p w14:paraId="506EB940" w14:textId="77777777" w:rsidR="002C7515" w:rsidRPr="002C7515" w:rsidRDefault="002C7515" w:rsidP="002C7515">
            <w:pPr>
              <w:kinsoku w:val="0"/>
              <w:autoSpaceDE w:val="0"/>
              <w:autoSpaceDN w:val="0"/>
              <w:adjustRightInd w:val="0"/>
              <w:snapToGrid w:val="0"/>
              <w:spacing w:line="360" w:lineRule="exact"/>
              <w:jc w:val="center"/>
              <w:textAlignment w:val="center"/>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總人次</w:t>
            </w:r>
          </w:p>
        </w:tc>
        <w:tc>
          <w:tcPr>
            <w:tcW w:w="1719" w:type="dxa"/>
            <w:shd w:val="clear" w:color="auto" w:fill="auto"/>
          </w:tcPr>
          <w:p w14:paraId="42C5BDC4" w14:textId="77777777" w:rsidR="002C7515" w:rsidRPr="002C7515" w:rsidRDefault="002C7515" w:rsidP="002C7515">
            <w:pPr>
              <w:kinsoku w:val="0"/>
              <w:autoSpaceDE w:val="0"/>
              <w:autoSpaceDN w:val="0"/>
              <w:adjustRightInd w:val="0"/>
              <w:snapToGrid w:val="0"/>
              <w:spacing w:line="360" w:lineRule="exact"/>
              <w:jc w:val="center"/>
              <w:textAlignment w:val="center"/>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總時數</w:t>
            </w:r>
            <w:r w:rsidRPr="002C7515">
              <w:rPr>
                <w:rFonts w:ascii="Times New Roman" w:eastAsia="標楷體" w:hAnsi="標楷體" w:cs="Times New Roman" w:hint="eastAsia"/>
                <w:color w:val="000000"/>
                <w:sz w:val="28"/>
                <w:szCs w:val="24"/>
              </w:rPr>
              <w:t>(</w:t>
            </w:r>
            <w:r w:rsidRPr="002C7515">
              <w:rPr>
                <w:rFonts w:ascii="Times New Roman" w:eastAsia="標楷體" w:hAnsi="標楷體" w:cs="Times New Roman" w:hint="eastAsia"/>
                <w:color w:val="000000"/>
                <w:sz w:val="28"/>
                <w:szCs w:val="24"/>
              </w:rPr>
              <w:t>小時</w:t>
            </w:r>
            <w:r w:rsidRPr="002C7515">
              <w:rPr>
                <w:rFonts w:ascii="Times New Roman" w:eastAsia="標楷體" w:hAnsi="標楷體" w:cs="Times New Roman" w:hint="eastAsia"/>
                <w:color w:val="000000"/>
                <w:sz w:val="28"/>
                <w:szCs w:val="24"/>
              </w:rPr>
              <w:t>)</w:t>
            </w:r>
          </w:p>
        </w:tc>
        <w:tc>
          <w:tcPr>
            <w:tcW w:w="1655" w:type="dxa"/>
            <w:shd w:val="clear" w:color="auto" w:fill="auto"/>
          </w:tcPr>
          <w:p w14:paraId="370DE929" w14:textId="77777777" w:rsidR="002C7515" w:rsidRPr="002C7515" w:rsidRDefault="002C7515" w:rsidP="002C7515">
            <w:pPr>
              <w:kinsoku w:val="0"/>
              <w:autoSpaceDE w:val="0"/>
              <w:autoSpaceDN w:val="0"/>
              <w:adjustRightInd w:val="0"/>
              <w:snapToGrid w:val="0"/>
              <w:spacing w:line="360" w:lineRule="exact"/>
              <w:jc w:val="center"/>
              <w:textAlignment w:val="center"/>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總費用</w:t>
            </w:r>
            <w:r w:rsidRPr="002C7515">
              <w:rPr>
                <w:rFonts w:ascii="Times New Roman" w:eastAsia="標楷體" w:hAnsi="標楷體" w:cs="Times New Roman" w:hint="eastAsia"/>
                <w:color w:val="000000"/>
                <w:sz w:val="28"/>
                <w:szCs w:val="24"/>
              </w:rPr>
              <w:t>(</w:t>
            </w:r>
            <w:r w:rsidRPr="002C7515">
              <w:rPr>
                <w:rFonts w:ascii="Times New Roman" w:eastAsia="標楷體" w:hAnsi="標楷體" w:cs="Times New Roman" w:hint="eastAsia"/>
                <w:color w:val="000000"/>
                <w:sz w:val="28"/>
                <w:szCs w:val="24"/>
              </w:rPr>
              <w:t>元</w:t>
            </w:r>
            <w:r w:rsidRPr="002C7515">
              <w:rPr>
                <w:rFonts w:ascii="Times New Roman" w:eastAsia="標楷體" w:hAnsi="標楷體" w:cs="Times New Roman" w:hint="eastAsia"/>
                <w:color w:val="000000"/>
                <w:sz w:val="28"/>
                <w:szCs w:val="24"/>
              </w:rPr>
              <w:t>)</w:t>
            </w:r>
          </w:p>
        </w:tc>
      </w:tr>
      <w:tr w:rsidR="002C7515" w:rsidRPr="002C7515" w14:paraId="4A2928E0" w14:textId="77777777" w:rsidTr="00FD5D78">
        <w:tc>
          <w:tcPr>
            <w:tcW w:w="1792" w:type="dxa"/>
            <w:shd w:val="clear" w:color="auto" w:fill="auto"/>
          </w:tcPr>
          <w:p w14:paraId="18F37220" w14:textId="77777777" w:rsidR="002C7515" w:rsidRPr="002C7515" w:rsidRDefault="002C7515" w:rsidP="002C7515">
            <w:pPr>
              <w:spacing w:line="366" w:lineRule="atLeast"/>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新進人員訓練</w:t>
            </w:r>
          </w:p>
        </w:tc>
        <w:tc>
          <w:tcPr>
            <w:tcW w:w="1301" w:type="dxa"/>
            <w:shd w:val="clear" w:color="auto" w:fill="auto"/>
          </w:tcPr>
          <w:p w14:paraId="4E6E0114"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1</w:t>
            </w:r>
            <w:r w:rsidRPr="002C7515">
              <w:rPr>
                <w:rFonts w:ascii="Times New Roman" w:eastAsia="標楷體" w:hAnsi="標楷體" w:cs="Times New Roman"/>
                <w:color w:val="000000"/>
                <w:sz w:val="28"/>
                <w:szCs w:val="24"/>
              </w:rPr>
              <w:t>8</w:t>
            </w:r>
          </w:p>
        </w:tc>
        <w:tc>
          <w:tcPr>
            <w:tcW w:w="1330" w:type="dxa"/>
            <w:shd w:val="clear" w:color="auto" w:fill="auto"/>
          </w:tcPr>
          <w:p w14:paraId="6D2C32BB"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1</w:t>
            </w:r>
            <w:r w:rsidRPr="002C7515">
              <w:rPr>
                <w:rFonts w:ascii="Times New Roman" w:eastAsia="標楷體" w:hAnsi="標楷體" w:cs="Times New Roman"/>
                <w:color w:val="000000"/>
                <w:sz w:val="28"/>
                <w:szCs w:val="24"/>
              </w:rPr>
              <w:t>9</w:t>
            </w:r>
          </w:p>
        </w:tc>
        <w:tc>
          <w:tcPr>
            <w:tcW w:w="1719" w:type="dxa"/>
            <w:shd w:val="clear" w:color="auto" w:fill="auto"/>
          </w:tcPr>
          <w:p w14:paraId="53A3214D"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5</w:t>
            </w:r>
            <w:r w:rsidRPr="002C7515">
              <w:rPr>
                <w:rFonts w:ascii="Times New Roman" w:eastAsia="標楷體" w:hAnsi="標楷體" w:cs="Times New Roman"/>
                <w:color w:val="000000"/>
                <w:sz w:val="28"/>
                <w:szCs w:val="24"/>
              </w:rPr>
              <w:t>4</w:t>
            </w:r>
          </w:p>
        </w:tc>
        <w:tc>
          <w:tcPr>
            <w:tcW w:w="1655" w:type="dxa"/>
            <w:shd w:val="clear" w:color="auto" w:fill="auto"/>
          </w:tcPr>
          <w:p w14:paraId="34415A12"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0</w:t>
            </w:r>
          </w:p>
        </w:tc>
      </w:tr>
      <w:tr w:rsidR="002C7515" w:rsidRPr="002C7515" w14:paraId="24AA8364" w14:textId="77777777" w:rsidTr="00FD5D78">
        <w:tc>
          <w:tcPr>
            <w:tcW w:w="1792" w:type="dxa"/>
            <w:shd w:val="clear" w:color="auto" w:fill="auto"/>
          </w:tcPr>
          <w:p w14:paraId="2811E607" w14:textId="77777777" w:rsidR="002C7515" w:rsidRPr="002C7515" w:rsidRDefault="002C7515" w:rsidP="002C7515">
            <w:pPr>
              <w:spacing w:line="366" w:lineRule="atLeast"/>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專業職能訓練</w:t>
            </w:r>
          </w:p>
        </w:tc>
        <w:tc>
          <w:tcPr>
            <w:tcW w:w="1301" w:type="dxa"/>
            <w:shd w:val="clear" w:color="auto" w:fill="auto"/>
          </w:tcPr>
          <w:p w14:paraId="51B26D6A"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2</w:t>
            </w:r>
            <w:r w:rsidRPr="002C7515">
              <w:rPr>
                <w:rFonts w:ascii="Times New Roman" w:eastAsia="標楷體" w:hAnsi="標楷體" w:cs="Times New Roman"/>
                <w:color w:val="000000"/>
                <w:sz w:val="28"/>
                <w:szCs w:val="24"/>
              </w:rPr>
              <w:t>9</w:t>
            </w:r>
          </w:p>
        </w:tc>
        <w:tc>
          <w:tcPr>
            <w:tcW w:w="1330" w:type="dxa"/>
            <w:shd w:val="clear" w:color="auto" w:fill="auto"/>
          </w:tcPr>
          <w:p w14:paraId="451C514D"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9</w:t>
            </w:r>
          </w:p>
        </w:tc>
        <w:tc>
          <w:tcPr>
            <w:tcW w:w="1719" w:type="dxa"/>
            <w:shd w:val="clear" w:color="auto" w:fill="auto"/>
          </w:tcPr>
          <w:p w14:paraId="6A67CFFC"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1</w:t>
            </w:r>
            <w:r w:rsidRPr="002C7515">
              <w:rPr>
                <w:rFonts w:ascii="Times New Roman" w:eastAsia="標楷體" w:hAnsi="標楷體" w:cs="Times New Roman"/>
                <w:color w:val="000000"/>
                <w:sz w:val="28"/>
                <w:szCs w:val="24"/>
              </w:rPr>
              <w:t>56</w:t>
            </w:r>
          </w:p>
        </w:tc>
        <w:tc>
          <w:tcPr>
            <w:tcW w:w="1655" w:type="dxa"/>
            <w:shd w:val="clear" w:color="auto" w:fill="auto"/>
          </w:tcPr>
          <w:p w14:paraId="2BA2EEA9"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7</w:t>
            </w:r>
            <w:r w:rsidRPr="002C7515">
              <w:rPr>
                <w:rFonts w:ascii="Times New Roman" w:eastAsia="標楷體" w:hAnsi="標楷體" w:cs="Times New Roman"/>
                <w:color w:val="000000"/>
                <w:sz w:val="28"/>
                <w:szCs w:val="24"/>
              </w:rPr>
              <w:t>6,000</w:t>
            </w:r>
          </w:p>
        </w:tc>
      </w:tr>
      <w:tr w:rsidR="002C7515" w:rsidRPr="002C7515" w14:paraId="1C1D215B" w14:textId="77777777" w:rsidTr="00FD5D78">
        <w:tc>
          <w:tcPr>
            <w:tcW w:w="1792" w:type="dxa"/>
            <w:shd w:val="clear" w:color="auto" w:fill="auto"/>
          </w:tcPr>
          <w:p w14:paraId="3C7F5D6F" w14:textId="77777777" w:rsidR="002C7515" w:rsidRPr="002C7515" w:rsidRDefault="002C7515" w:rsidP="002C7515">
            <w:pPr>
              <w:spacing w:line="366" w:lineRule="atLeast"/>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總計</w:t>
            </w:r>
          </w:p>
        </w:tc>
        <w:tc>
          <w:tcPr>
            <w:tcW w:w="1301" w:type="dxa"/>
            <w:shd w:val="clear" w:color="auto" w:fill="auto"/>
          </w:tcPr>
          <w:p w14:paraId="7D303773"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4</w:t>
            </w:r>
            <w:r w:rsidRPr="002C7515">
              <w:rPr>
                <w:rFonts w:ascii="Times New Roman" w:eastAsia="標楷體" w:hAnsi="標楷體" w:cs="Times New Roman"/>
                <w:color w:val="000000"/>
                <w:sz w:val="28"/>
                <w:szCs w:val="24"/>
              </w:rPr>
              <w:t>7</w:t>
            </w:r>
          </w:p>
        </w:tc>
        <w:tc>
          <w:tcPr>
            <w:tcW w:w="1330" w:type="dxa"/>
            <w:shd w:val="clear" w:color="auto" w:fill="auto"/>
          </w:tcPr>
          <w:p w14:paraId="3DCC2599"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2</w:t>
            </w:r>
            <w:r w:rsidRPr="002C7515">
              <w:rPr>
                <w:rFonts w:ascii="Times New Roman" w:eastAsia="標楷體" w:hAnsi="標楷體" w:cs="Times New Roman"/>
                <w:color w:val="000000"/>
                <w:sz w:val="28"/>
                <w:szCs w:val="24"/>
              </w:rPr>
              <w:t>8</w:t>
            </w:r>
          </w:p>
        </w:tc>
        <w:tc>
          <w:tcPr>
            <w:tcW w:w="1719" w:type="dxa"/>
            <w:shd w:val="clear" w:color="auto" w:fill="auto"/>
          </w:tcPr>
          <w:p w14:paraId="5BCB2AEF"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2</w:t>
            </w:r>
            <w:r w:rsidRPr="002C7515">
              <w:rPr>
                <w:rFonts w:ascii="Times New Roman" w:eastAsia="標楷體" w:hAnsi="標楷體" w:cs="Times New Roman"/>
                <w:color w:val="000000"/>
                <w:sz w:val="28"/>
                <w:szCs w:val="24"/>
              </w:rPr>
              <w:t>10</w:t>
            </w:r>
          </w:p>
        </w:tc>
        <w:tc>
          <w:tcPr>
            <w:tcW w:w="1655" w:type="dxa"/>
            <w:shd w:val="clear" w:color="auto" w:fill="auto"/>
          </w:tcPr>
          <w:p w14:paraId="1C3AF030" w14:textId="77777777" w:rsidR="002C7515" w:rsidRPr="002C7515" w:rsidRDefault="002C7515" w:rsidP="002C7515">
            <w:pPr>
              <w:spacing w:line="366" w:lineRule="atLeast"/>
              <w:jc w:val="right"/>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t>7</w:t>
            </w:r>
            <w:r w:rsidRPr="002C7515">
              <w:rPr>
                <w:rFonts w:ascii="Times New Roman" w:eastAsia="標楷體" w:hAnsi="標楷體" w:cs="Times New Roman" w:hint="eastAsia"/>
                <w:color w:val="000000"/>
                <w:sz w:val="28"/>
                <w:szCs w:val="24"/>
              </w:rPr>
              <w:t>6,000</w:t>
            </w:r>
          </w:p>
        </w:tc>
      </w:tr>
    </w:tbl>
    <w:p w14:paraId="24955137" w14:textId="77777777" w:rsidR="002C7515" w:rsidRPr="002C7515" w:rsidRDefault="002C7515" w:rsidP="002C7515">
      <w:pPr>
        <w:kinsoku w:val="0"/>
        <w:autoSpaceDE w:val="0"/>
        <w:autoSpaceDN w:val="0"/>
        <w:adjustRightInd w:val="0"/>
        <w:snapToGrid w:val="0"/>
        <w:ind w:leftChars="500" w:left="1200" w:firstLineChars="200" w:firstLine="480"/>
        <w:jc w:val="both"/>
        <w:textAlignment w:val="baseline"/>
        <w:rPr>
          <w:rFonts w:ascii="Times New Roman" w:eastAsia="標楷體" w:hAnsi="Times New Roman" w:cs="Times New Roman"/>
          <w:color w:val="000000"/>
          <w:kern w:val="0"/>
          <w:szCs w:val="20"/>
        </w:rPr>
      </w:pPr>
    </w:p>
    <w:p w14:paraId="0F596474" w14:textId="77777777" w:rsidR="002C7515" w:rsidRPr="002C7515" w:rsidRDefault="002C7515" w:rsidP="002C7515">
      <w:pPr>
        <w:spacing w:after="60" w:line="360" w:lineRule="exact"/>
        <w:ind w:left="1302" w:hanging="210"/>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3.</w:t>
      </w:r>
      <w:r w:rsidRPr="002C7515">
        <w:rPr>
          <w:rFonts w:ascii="Times New Roman" w:eastAsia="標楷體" w:hAnsi="標楷體" w:cs="Times New Roman"/>
          <w:color w:val="000000"/>
          <w:sz w:val="28"/>
          <w:szCs w:val="24"/>
        </w:rPr>
        <w:t>公司退休制度與其實施狀況</w:t>
      </w:r>
    </w:p>
    <w:p w14:paraId="736F75D4" w14:textId="77777777" w:rsidR="002C7515" w:rsidRPr="002C7515" w:rsidRDefault="002C7515" w:rsidP="002C7515">
      <w:pPr>
        <w:spacing w:after="60" w:line="360" w:lineRule="exact"/>
        <w:ind w:left="1302" w:firstLine="560"/>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t>本公司</w:t>
      </w:r>
      <w:r w:rsidRPr="002C7515">
        <w:rPr>
          <w:rFonts w:ascii="Times New Roman" w:eastAsia="標楷體" w:hAnsi="標楷體" w:cs="Times New Roman" w:hint="eastAsia"/>
          <w:color w:val="000000"/>
          <w:sz w:val="28"/>
          <w:szCs w:val="24"/>
        </w:rPr>
        <w:t>依法辦理</w:t>
      </w:r>
      <w:r w:rsidRPr="002C7515">
        <w:rPr>
          <w:rFonts w:ascii="Times New Roman" w:eastAsia="標楷體" w:hAnsi="標楷體" w:cs="Times New Roman"/>
          <w:color w:val="000000"/>
          <w:sz w:val="28"/>
          <w:szCs w:val="24"/>
        </w:rPr>
        <w:t>員工退休</w:t>
      </w:r>
      <w:r w:rsidRPr="002C7515">
        <w:rPr>
          <w:rFonts w:ascii="Times New Roman" w:eastAsia="標楷體" w:hAnsi="標楷體" w:cs="Times New Roman" w:hint="eastAsia"/>
          <w:color w:val="000000"/>
          <w:sz w:val="28"/>
          <w:szCs w:val="24"/>
        </w:rPr>
        <w:t>金事宜</w:t>
      </w:r>
      <w:r w:rsidRPr="002C7515">
        <w:rPr>
          <w:rFonts w:ascii="Times New Roman" w:eastAsia="標楷體" w:hAnsi="標楷體" w:cs="Times New Roman"/>
          <w:color w:val="000000"/>
          <w:sz w:val="28"/>
          <w:szCs w:val="24"/>
        </w:rPr>
        <w:t>，</w:t>
      </w:r>
      <w:r w:rsidRPr="002C7515">
        <w:rPr>
          <w:rFonts w:ascii="標楷體" w:eastAsia="標楷體" w:hAnsi="標楷體" w:cs="Times New Roman" w:hint="eastAsia"/>
          <w:color w:val="000000"/>
          <w:sz w:val="28"/>
          <w:szCs w:val="24"/>
        </w:rPr>
        <w:t>員工選擇勞退新制者及實施勞退新制後新進的員工，其退休辦法則依照勞工退休金條例之退休金制度規定</w:t>
      </w:r>
      <w:r w:rsidRPr="002C7515">
        <w:rPr>
          <w:rFonts w:ascii="Times New Roman" w:eastAsia="標楷體" w:hAnsi="標楷體" w:cs="Times New Roman"/>
          <w:color w:val="000000"/>
          <w:sz w:val="28"/>
          <w:szCs w:val="24"/>
        </w:rPr>
        <w:t>，</w:t>
      </w:r>
      <w:proofErr w:type="gramStart"/>
      <w:r w:rsidRPr="002C7515">
        <w:rPr>
          <w:rFonts w:ascii="Times New Roman" w:eastAsia="標楷體" w:hAnsi="標楷體" w:cs="Times New Roman" w:hint="eastAsia"/>
          <w:color w:val="000000"/>
          <w:sz w:val="28"/>
          <w:szCs w:val="24"/>
        </w:rPr>
        <w:t>提撥</w:t>
      </w:r>
      <w:proofErr w:type="gramEnd"/>
      <w:r w:rsidRPr="002C7515">
        <w:rPr>
          <w:rFonts w:ascii="Times New Roman" w:eastAsia="標楷體" w:hAnsi="標楷體" w:cs="Times New Roman" w:hint="eastAsia"/>
          <w:color w:val="000000"/>
          <w:sz w:val="28"/>
          <w:szCs w:val="24"/>
        </w:rPr>
        <w:t>每月工資</w:t>
      </w:r>
      <w:r w:rsidRPr="002C7515">
        <w:rPr>
          <w:rFonts w:ascii="Times New Roman" w:eastAsia="標楷體" w:hAnsi="標楷體" w:cs="Times New Roman" w:hint="eastAsia"/>
          <w:color w:val="000000"/>
          <w:sz w:val="28"/>
          <w:szCs w:val="24"/>
        </w:rPr>
        <w:t>6%</w:t>
      </w:r>
      <w:r w:rsidRPr="002C7515">
        <w:rPr>
          <w:rFonts w:ascii="Times New Roman" w:eastAsia="標楷體" w:hAnsi="標楷體" w:cs="Times New Roman" w:hint="eastAsia"/>
          <w:color w:val="000000"/>
          <w:sz w:val="28"/>
          <w:szCs w:val="24"/>
        </w:rPr>
        <w:t>至勞保局退休金個人帳戶</w:t>
      </w:r>
      <w:r w:rsidRPr="002C7515">
        <w:rPr>
          <w:rFonts w:ascii="Times New Roman" w:eastAsia="標楷體" w:hAnsi="標楷體" w:cs="Times New Roman"/>
          <w:color w:val="000000"/>
          <w:sz w:val="28"/>
          <w:szCs w:val="24"/>
        </w:rPr>
        <w:t>，</w:t>
      </w:r>
      <w:r w:rsidRPr="002C7515">
        <w:rPr>
          <w:rFonts w:ascii="Times New Roman" w:eastAsia="標楷體" w:hAnsi="標楷體" w:cs="Times New Roman" w:hint="eastAsia"/>
          <w:color w:val="000000"/>
          <w:sz w:val="28"/>
          <w:szCs w:val="24"/>
        </w:rPr>
        <w:t>選擇適用舊制退休金辦法之原有員工及選擇適用新制退休金辦法之原有員工的舊制保留年資</w:t>
      </w:r>
      <w:r w:rsidRPr="002C7515">
        <w:rPr>
          <w:rFonts w:ascii="Times New Roman" w:eastAsia="標楷體" w:hAnsi="標楷體" w:cs="Times New Roman"/>
          <w:color w:val="000000"/>
          <w:sz w:val="28"/>
          <w:szCs w:val="24"/>
        </w:rPr>
        <w:t>，</w:t>
      </w:r>
      <w:r w:rsidRPr="002C7515">
        <w:rPr>
          <w:rFonts w:ascii="Times New Roman" w:eastAsia="標楷體" w:hAnsi="標楷體" w:cs="Times New Roman" w:hint="eastAsia"/>
          <w:color w:val="000000"/>
          <w:sz w:val="28"/>
          <w:szCs w:val="24"/>
        </w:rPr>
        <w:t>按原員工退休辦法退休金給付標準計算</w:t>
      </w:r>
      <w:proofErr w:type="gramStart"/>
      <w:r w:rsidRPr="002C7515">
        <w:rPr>
          <w:rFonts w:ascii="Times New Roman" w:eastAsia="標楷體" w:hAnsi="標楷體" w:cs="Times New Roman" w:hint="eastAsia"/>
          <w:color w:val="000000"/>
          <w:sz w:val="28"/>
          <w:szCs w:val="24"/>
        </w:rPr>
        <w:t>提撥適額之</w:t>
      </w:r>
      <w:proofErr w:type="gramEnd"/>
      <w:r w:rsidRPr="002C7515">
        <w:rPr>
          <w:rFonts w:ascii="Times New Roman" w:eastAsia="標楷體" w:hAnsi="標楷體" w:cs="Times New Roman" w:hint="eastAsia"/>
          <w:color w:val="000000"/>
          <w:sz w:val="28"/>
          <w:szCs w:val="24"/>
        </w:rPr>
        <w:t>退休準備金</w:t>
      </w:r>
      <w:r w:rsidRPr="002C7515">
        <w:rPr>
          <w:rFonts w:ascii="Times New Roman" w:eastAsia="標楷體" w:hAnsi="標楷體" w:cs="Times New Roman"/>
          <w:color w:val="000000"/>
          <w:sz w:val="28"/>
          <w:szCs w:val="24"/>
        </w:rPr>
        <w:t>。目前實施狀況良好，未有任何爭議情事發生。</w:t>
      </w:r>
    </w:p>
    <w:p w14:paraId="16082EFE" w14:textId="77777777" w:rsidR="002C7515" w:rsidRPr="002C7515" w:rsidRDefault="002C7515" w:rsidP="002C7515">
      <w:pPr>
        <w:spacing w:after="60" w:line="360" w:lineRule="exact"/>
        <w:ind w:left="1302" w:hanging="210"/>
        <w:jc w:val="both"/>
        <w:rPr>
          <w:rFonts w:ascii="Times New Roman" w:eastAsia="標楷體" w:hAnsi="標楷體" w:cs="Times New Roman"/>
          <w:color w:val="000000"/>
          <w:sz w:val="28"/>
          <w:szCs w:val="24"/>
        </w:rPr>
      </w:pPr>
    </w:p>
    <w:p w14:paraId="52FF8C2E" w14:textId="77777777" w:rsidR="002C7515" w:rsidRPr="002C7515" w:rsidRDefault="002C7515" w:rsidP="002C7515">
      <w:pPr>
        <w:spacing w:after="60" w:line="360" w:lineRule="exact"/>
        <w:ind w:left="1302" w:hanging="210"/>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4.</w:t>
      </w:r>
      <w:r w:rsidRPr="002C7515">
        <w:rPr>
          <w:rFonts w:ascii="Times New Roman" w:eastAsia="標楷體" w:hAnsi="標楷體" w:cs="Times New Roman"/>
          <w:color w:val="000000"/>
          <w:sz w:val="28"/>
          <w:szCs w:val="24"/>
        </w:rPr>
        <w:t>勞資間之協議情形</w:t>
      </w:r>
    </w:p>
    <w:p w14:paraId="30B1AC9C" w14:textId="77777777" w:rsidR="002C7515" w:rsidRPr="002C7515" w:rsidRDefault="002C7515" w:rsidP="002C7515">
      <w:pPr>
        <w:spacing w:after="60" w:line="360" w:lineRule="exact"/>
        <w:ind w:left="1302" w:firstLine="560"/>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t>本公司鼓勵員工有意見隨時與相關人員溝通，並要求主管及相關部門應迅速給予回覆；主管人員並力行走動式管理，主動關心員工工作情形以落實雙向溝通。在勞資</w:t>
      </w:r>
      <w:proofErr w:type="gramStart"/>
      <w:r w:rsidRPr="002C7515">
        <w:rPr>
          <w:rFonts w:ascii="Times New Roman" w:eastAsia="標楷體" w:hAnsi="標楷體" w:cs="Times New Roman"/>
          <w:color w:val="000000"/>
          <w:sz w:val="28"/>
          <w:szCs w:val="24"/>
        </w:rPr>
        <w:t>雙方均能尊重</w:t>
      </w:r>
      <w:proofErr w:type="gramEnd"/>
      <w:r w:rsidRPr="002C7515">
        <w:rPr>
          <w:rFonts w:ascii="Times New Roman" w:eastAsia="標楷體" w:hAnsi="標楷體" w:cs="Times New Roman"/>
          <w:color w:val="000000"/>
          <w:sz w:val="28"/>
          <w:szCs w:val="24"/>
        </w:rPr>
        <w:t>勞資倫理下，目前尚無</w:t>
      </w:r>
      <w:r w:rsidRPr="002C7515">
        <w:rPr>
          <w:rFonts w:ascii="Times New Roman" w:eastAsia="標楷體" w:hAnsi="標楷體" w:cs="Times New Roman" w:hint="eastAsia"/>
          <w:color w:val="000000"/>
          <w:sz w:val="28"/>
          <w:szCs w:val="24"/>
        </w:rPr>
        <w:t>重大</w:t>
      </w:r>
      <w:r w:rsidRPr="002C7515">
        <w:rPr>
          <w:rFonts w:ascii="Times New Roman" w:eastAsia="標楷體" w:hAnsi="標楷體" w:cs="Times New Roman"/>
          <w:color w:val="000000"/>
          <w:sz w:val="28"/>
          <w:szCs w:val="24"/>
        </w:rPr>
        <w:t>勞資糾紛發生。</w:t>
      </w:r>
    </w:p>
    <w:p w14:paraId="2B37A5BB" w14:textId="77777777" w:rsidR="002C7515" w:rsidRPr="002C7515" w:rsidRDefault="002C7515" w:rsidP="002C7515">
      <w:pPr>
        <w:spacing w:after="60" w:line="360" w:lineRule="exact"/>
        <w:ind w:left="1302" w:hanging="210"/>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5.</w:t>
      </w:r>
      <w:r w:rsidRPr="002C7515">
        <w:rPr>
          <w:rFonts w:ascii="Times New Roman" w:eastAsia="標楷體" w:hAnsi="標楷體" w:cs="Times New Roman"/>
          <w:color w:val="000000"/>
          <w:sz w:val="28"/>
          <w:szCs w:val="24"/>
        </w:rPr>
        <w:t>各項員工權益維護措施情形</w:t>
      </w:r>
    </w:p>
    <w:p w14:paraId="10DDAE3C" w14:textId="77777777" w:rsidR="002C7515" w:rsidRPr="002C7515" w:rsidRDefault="002C7515" w:rsidP="002C7515">
      <w:pPr>
        <w:spacing w:after="60" w:line="360" w:lineRule="exact"/>
        <w:ind w:left="1302" w:firstLine="560"/>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t>本公司各部門訂有完善的作業流程，並依據相關法令及內部控制規範，落實各項員工應有權益及應盡責任；此外公司有良好的溝通機制，重視員工及</w:t>
      </w:r>
      <w:proofErr w:type="gramStart"/>
      <w:r w:rsidRPr="002C7515">
        <w:rPr>
          <w:rFonts w:ascii="Times New Roman" w:eastAsia="標楷體" w:hAnsi="標楷體" w:cs="Times New Roman"/>
          <w:color w:val="000000"/>
          <w:sz w:val="28"/>
          <w:szCs w:val="24"/>
        </w:rPr>
        <w:t>主管間的意見</w:t>
      </w:r>
      <w:proofErr w:type="gramEnd"/>
      <w:r w:rsidRPr="002C7515">
        <w:rPr>
          <w:rFonts w:ascii="Times New Roman" w:eastAsia="標楷體" w:hAnsi="標楷體" w:cs="Times New Roman"/>
          <w:color w:val="000000"/>
          <w:sz w:val="28"/>
          <w:szCs w:val="24"/>
        </w:rPr>
        <w:t>交換，公司也能據此作出最適當的處理，以維護員工及公司權益。</w:t>
      </w:r>
    </w:p>
    <w:p w14:paraId="2371E939" w14:textId="77777777" w:rsidR="002C7515" w:rsidRPr="002C7515" w:rsidRDefault="002C7515" w:rsidP="002C7515">
      <w:pPr>
        <w:spacing w:after="60" w:line="360" w:lineRule="exact"/>
        <w:ind w:left="600" w:firstLine="599"/>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6.</w:t>
      </w:r>
      <w:r w:rsidRPr="002C7515">
        <w:rPr>
          <w:rFonts w:ascii="Times New Roman" w:eastAsia="標楷體" w:hAnsi="標楷體" w:cs="Times New Roman" w:hint="eastAsia"/>
          <w:color w:val="000000"/>
          <w:sz w:val="28"/>
          <w:szCs w:val="24"/>
        </w:rPr>
        <w:t>員工薪</w:t>
      </w:r>
      <w:proofErr w:type="gramStart"/>
      <w:r w:rsidRPr="002C7515">
        <w:rPr>
          <w:rFonts w:ascii="Times New Roman" w:eastAsia="標楷體" w:hAnsi="標楷體" w:cs="Times New Roman" w:hint="eastAsia"/>
          <w:color w:val="000000"/>
          <w:sz w:val="28"/>
          <w:szCs w:val="24"/>
        </w:rPr>
        <w:t>酬</w:t>
      </w:r>
      <w:proofErr w:type="gramEnd"/>
      <w:r w:rsidRPr="002C7515">
        <w:rPr>
          <w:rFonts w:ascii="Times New Roman" w:eastAsia="標楷體" w:hAnsi="標楷體" w:cs="Times New Roman" w:hint="eastAsia"/>
          <w:color w:val="000000"/>
          <w:sz w:val="28"/>
          <w:szCs w:val="24"/>
        </w:rPr>
        <w:t>制度</w:t>
      </w:r>
    </w:p>
    <w:p w14:paraId="640CF6BD" w14:textId="77777777" w:rsidR="002C7515" w:rsidRPr="002C7515" w:rsidRDefault="002C7515" w:rsidP="002C7515">
      <w:pPr>
        <w:spacing w:line="320" w:lineRule="exact"/>
        <w:ind w:left="1414" w:firstLine="4"/>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本公司章程第</w:t>
      </w:r>
      <w:r w:rsidRPr="002C7515">
        <w:rPr>
          <w:rFonts w:ascii="Times New Roman" w:eastAsia="標楷體" w:hAnsi="標楷體" w:cs="Times New Roman" w:hint="eastAsia"/>
          <w:color w:val="000000"/>
          <w:sz w:val="28"/>
          <w:szCs w:val="24"/>
        </w:rPr>
        <w:t>22</w:t>
      </w:r>
      <w:r w:rsidRPr="002C7515">
        <w:rPr>
          <w:rFonts w:ascii="Times New Roman" w:eastAsia="標楷體" w:hAnsi="標楷體" w:cs="Times New Roman" w:hint="eastAsia"/>
          <w:color w:val="000000"/>
          <w:sz w:val="28"/>
          <w:szCs w:val="24"/>
        </w:rPr>
        <w:t>條規定</w:t>
      </w:r>
      <w:r w:rsidRPr="002C7515">
        <w:rPr>
          <w:rFonts w:ascii="Times New Roman" w:eastAsia="標楷體" w:hAnsi="標楷體" w:cs="Times New Roman" w:hint="eastAsia"/>
          <w:color w:val="000000"/>
          <w:sz w:val="28"/>
          <w:szCs w:val="24"/>
        </w:rPr>
        <w:t>:</w:t>
      </w:r>
    </w:p>
    <w:p w14:paraId="606291FE" w14:textId="77777777" w:rsidR="002C7515" w:rsidRPr="002C7515" w:rsidRDefault="002C7515" w:rsidP="002C7515">
      <w:pPr>
        <w:spacing w:line="320" w:lineRule="exact"/>
        <w:ind w:left="1414" w:firstLine="429"/>
        <w:jc w:val="both"/>
        <w:rPr>
          <w:rFonts w:ascii="Times New Roman" w:eastAsia="標楷體" w:hAnsi="標楷體" w:cs="Times New Roman"/>
          <w:color w:val="000000"/>
          <w:sz w:val="28"/>
          <w:szCs w:val="24"/>
        </w:rPr>
      </w:pPr>
      <w:r w:rsidRPr="002C7515">
        <w:rPr>
          <w:rFonts w:ascii="Times New Roman" w:eastAsia="標楷體" w:hAnsi="標楷體" w:cs="Times New Roman" w:hint="eastAsia"/>
          <w:color w:val="000000"/>
          <w:sz w:val="28"/>
          <w:szCs w:val="24"/>
        </w:rPr>
        <w:t>公司年度如有獲利，應</w:t>
      </w:r>
      <w:proofErr w:type="gramStart"/>
      <w:r w:rsidRPr="002C7515">
        <w:rPr>
          <w:rFonts w:ascii="Times New Roman" w:eastAsia="標楷體" w:hAnsi="標楷體" w:cs="Times New Roman" w:hint="eastAsia"/>
          <w:color w:val="000000"/>
          <w:sz w:val="28"/>
          <w:szCs w:val="24"/>
        </w:rPr>
        <w:t>提撥</w:t>
      </w:r>
      <w:proofErr w:type="gramEnd"/>
      <w:r w:rsidRPr="002C7515">
        <w:rPr>
          <w:rFonts w:ascii="Times New Roman" w:eastAsia="標楷體" w:hAnsi="標楷體" w:cs="Times New Roman" w:hint="eastAsia"/>
          <w:color w:val="000000"/>
          <w:sz w:val="28"/>
          <w:szCs w:val="24"/>
        </w:rPr>
        <w:t>不低於百分之五為員工酬勞，及不高於百分之一為董事酬勞。但公司尚有累積虧損時，應預先保留彌補數額。</w:t>
      </w:r>
    </w:p>
    <w:p w14:paraId="4087953D" w14:textId="77777777" w:rsidR="002C7515" w:rsidRPr="002C7515" w:rsidRDefault="002C7515" w:rsidP="002C7515">
      <w:pPr>
        <w:spacing w:line="320" w:lineRule="exact"/>
        <w:ind w:left="1414" w:firstLine="429"/>
        <w:jc w:val="both"/>
        <w:rPr>
          <w:rFonts w:ascii="Times New Roman" w:eastAsia="標楷體" w:hAnsi="標楷體" w:cs="Times New Roman"/>
          <w:color w:val="000000"/>
          <w:sz w:val="18"/>
          <w:szCs w:val="20"/>
        </w:rPr>
      </w:pPr>
      <w:r w:rsidRPr="002C7515">
        <w:rPr>
          <w:rFonts w:ascii="Times New Roman" w:eastAsia="標楷體" w:hAnsi="標楷體" w:cs="Times New Roman" w:hint="eastAsia"/>
          <w:color w:val="000000"/>
          <w:sz w:val="28"/>
          <w:szCs w:val="24"/>
        </w:rPr>
        <w:t>前項員工酬勞發給股票或現金之對象，包括符合一定條件之從屬公司員工，其條件認定授權董事會處理。</w:t>
      </w:r>
    </w:p>
    <w:p w14:paraId="2C752871" w14:textId="77777777" w:rsidR="002C7515" w:rsidRPr="002C7515" w:rsidRDefault="002C7515" w:rsidP="002C7515">
      <w:pPr>
        <w:spacing w:after="120" w:line="400" w:lineRule="exact"/>
        <w:ind w:left="1092" w:hanging="532"/>
        <w:rPr>
          <w:rFonts w:ascii="華康粗黑體" w:eastAsia="華康粗黑體" w:hAnsi="Times New Roman" w:cs="Times New Roman"/>
          <w:color w:val="000000"/>
          <w:sz w:val="28"/>
          <w:szCs w:val="20"/>
        </w:rPr>
      </w:pPr>
    </w:p>
    <w:p w14:paraId="259D4461" w14:textId="77777777" w:rsidR="002C7515" w:rsidRPr="002C7515" w:rsidRDefault="002C7515" w:rsidP="002C7515">
      <w:pPr>
        <w:spacing w:after="120" w:line="400" w:lineRule="exact"/>
        <w:ind w:left="1092" w:hanging="532"/>
        <w:rPr>
          <w:rFonts w:ascii="華康粗黑體" w:eastAsia="華康粗黑體" w:hAnsi="Times New Roman" w:cs="Times New Roman"/>
          <w:color w:val="000000"/>
          <w:sz w:val="28"/>
          <w:szCs w:val="20"/>
        </w:rPr>
      </w:pPr>
      <w:r w:rsidRPr="002C7515">
        <w:rPr>
          <w:rFonts w:ascii="華康粗黑體" w:eastAsia="華康粗黑體" w:hAnsi="Times New Roman" w:cs="Times New Roman" w:hint="eastAsia"/>
          <w:color w:val="000000"/>
          <w:sz w:val="28"/>
          <w:szCs w:val="20"/>
        </w:rPr>
        <w:t>(二)</w:t>
      </w:r>
      <w:r w:rsidRPr="002C7515">
        <w:rPr>
          <w:rFonts w:ascii="華康粗黑體" w:eastAsia="華康粗黑體" w:hAnsi="Times New Roman" w:cs="Times New Roman"/>
          <w:color w:val="000000"/>
          <w:sz w:val="28"/>
          <w:szCs w:val="20"/>
        </w:rPr>
        <w:t>最近年度及截至年報刊印日止，因勞資糾紛所遭受之損失</w:t>
      </w:r>
      <w:r w:rsidRPr="002C7515">
        <w:rPr>
          <w:rFonts w:ascii="華康粗黑體" w:eastAsia="華康粗黑體" w:hAnsi="Times New Roman" w:cs="Times New Roman" w:hint="eastAsia"/>
          <w:color w:val="000000"/>
          <w:sz w:val="28"/>
          <w:szCs w:val="20"/>
        </w:rPr>
        <w:t>（包括勞工檢查結果違反勞動基準法事項，應列明處分日期、處分字號、違反法規條文、違反法規內容、處分內容）</w:t>
      </w:r>
      <w:r w:rsidRPr="002C7515">
        <w:rPr>
          <w:rFonts w:ascii="華康粗黑體" w:eastAsia="華康粗黑體" w:hAnsi="Times New Roman" w:cs="Times New Roman"/>
          <w:color w:val="000000"/>
          <w:sz w:val="28"/>
          <w:szCs w:val="20"/>
        </w:rPr>
        <w:t>，並揭露目前及未來可能發生之估計金額與因應措施：</w:t>
      </w:r>
    </w:p>
    <w:p w14:paraId="1D55021A" w14:textId="77777777" w:rsidR="002C7515" w:rsidRPr="002C7515" w:rsidRDefault="002C7515" w:rsidP="002C7515">
      <w:pPr>
        <w:spacing w:after="60" w:line="360" w:lineRule="exact"/>
        <w:ind w:left="1092" w:firstLine="560"/>
        <w:jc w:val="both"/>
        <w:rPr>
          <w:rFonts w:ascii="Times New Roman" w:eastAsia="標楷體" w:hAnsi="標楷體" w:cs="Times New Roman"/>
          <w:color w:val="000000"/>
          <w:sz w:val="28"/>
          <w:szCs w:val="24"/>
        </w:rPr>
      </w:pPr>
      <w:r w:rsidRPr="002C7515">
        <w:rPr>
          <w:rFonts w:ascii="Times New Roman" w:eastAsia="標楷體" w:hAnsi="標楷體" w:cs="Times New Roman"/>
          <w:color w:val="000000"/>
          <w:sz w:val="28"/>
          <w:szCs w:val="24"/>
        </w:rPr>
        <w:t>截至年報刊印日止，</w:t>
      </w:r>
      <w:r w:rsidRPr="002C7515">
        <w:rPr>
          <w:rFonts w:ascii="Times New Roman" w:eastAsia="標楷體" w:hAnsi="標楷體" w:cs="Times New Roman" w:hint="eastAsia"/>
          <w:color w:val="000000"/>
          <w:sz w:val="28"/>
          <w:szCs w:val="24"/>
        </w:rPr>
        <w:t>本公司並無任何勞資糾紛</w:t>
      </w:r>
      <w:r w:rsidRPr="002C7515">
        <w:rPr>
          <w:rFonts w:ascii="Times New Roman" w:eastAsia="標楷體" w:hAnsi="標楷體" w:cs="Times New Roman"/>
          <w:color w:val="000000"/>
          <w:sz w:val="28"/>
          <w:szCs w:val="24"/>
        </w:rPr>
        <w:t>，</w:t>
      </w:r>
      <w:r w:rsidRPr="002C7515">
        <w:rPr>
          <w:rFonts w:ascii="Times New Roman" w:eastAsia="標楷體" w:hAnsi="標楷體" w:cs="Times New Roman" w:hint="eastAsia"/>
          <w:color w:val="000000"/>
          <w:sz w:val="28"/>
          <w:szCs w:val="24"/>
        </w:rPr>
        <w:t>預估未來</w:t>
      </w:r>
      <w:r w:rsidRPr="002C7515">
        <w:rPr>
          <w:rFonts w:ascii="Times New Roman" w:eastAsia="標楷體" w:hAnsi="標楷體" w:cs="Times New Roman"/>
          <w:color w:val="000000"/>
          <w:sz w:val="28"/>
          <w:szCs w:val="24"/>
        </w:rPr>
        <w:t>因勞資糾紛所</w:t>
      </w:r>
      <w:r w:rsidRPr="002C7515">
        <w:rPr>
          <w:rFonts w:ascii="Times New Roman" w:eastAsia="標楷體" w:hAnsi="標楷體" w:cs="Times New Roman" w:hint="eastAsia"/>
          <w:color w:val="000000"/>
          <w:sz w:val="28"/>
          <w:szCs w:val="24"/>
        </w:rPr>
        <w:t>導致損失</w:t>
      </w:r>
      <w:r w:rsidRPr="002C7515">
        <w:rPr>
          <w:rFonts w:ascii="Times New Roman" w:eastAsia="標楷體" w:hAnsi="標楷體" w:cs="Times New Roman"/>
          <w:color w:val="000000"/>
          <w:sz w:val="28"/>
          <w:szCs w:val="24"/>
        </w:rPr>
        <w:t>之</w:t>
      </w:r>
      <w:r w:rsidRPr="002C7515">
        <w:rPr>
          <w:rFonts w:ascii="Times New Roman" w:eastAsia="標楷體" w:hAnsi="標楷體" w:cs="Times New Roman" w:hint="eastAsia"/>
          <w:color w:val="000000"/>
          <w:sz w:val="28"/>
          <w:szCs w:val="24"/>
        </w:rPr>
        <w:t>可能性極低。除此之外，本公司成立至今，深切體認勞資雙方合諧之重要，故除致力於提升員工待遇、福利、能力及改善工作環境外，並維持溝通管道之</w:t>
      </w:r>
      <w:proofErr w:type="gramStart"/>
      <w:r w:rsidRPr="002C7515">
        <w:rPr>
          <w:rFonts w:ascii="Times New Roman" w:eastAsia="標楷體" w:hAnsi="標楷體" w:cs="Times New Roman" w:hint="eastAsia"/>
          <w:color w:val="000000"/>
          <w:sz w:val="28"/>
          <w:szCs w:val="24"/>
        </w:rPr>
        <w:t>暢通，</w:t>
      </w:r>
      <w:proofErr w:type="gramEnd"/>
      <w:r w:rsidRPr="002C7515">
        <w:rPr>
          <w:rFonts w:ascii="Times New Roman" w:eastAsia="標楷體" w:hAnsi="標楷體" w:cs="Times New Roman" w:hint="eastAsia"/>
          <w:color w:val="000000"/>
          <w:sz w:val="28"/>
          <w:szCs w:val="24"/>
        </w:rPr>
        <w:t>瞭解員工之各項困難及需求，各項問題</w:t>
      </w:r>
      <w:proofErr w:type="gramStart"/>
      <w:r w:rsidRPr="002C7515">
        <w:rPr>
          <w:rFonts w:ascii="Times New Roman" w:eastAsia="標楷體" w:hAnsi="標楷體" w:cs="Times New Roman" w:hint="eastAsia"/>
          <w:color w:val="000000"/>
          <w:sz w:val="28"/>
          <w:szCs w:val="24"/>
        </w:rPr>
        <w:t>亦均能獲得</w:t>
      </w:r>
      <w:proofErr w:type="gramEnd"/>
      <w:r w:rsidRPr="002C7515">
        <w:rPr>
          <w:rFonts w:ascii="Times New Roman" w:eastAsia="標楷體" w:hAnsi="標楷體" w:cs="Times New Roman" w:hint="eastAsia"/>
          <w:color w:val="000000"/>
          <w:sz w:val="28"/>
          <w:szCs w:val="24"/>
        </w:rPr>
        <w:t>各級主管之重視及協助解決。</w:t>
      </w:r>
    </w:p>
    <w:p w14:paraId="28F42F45" w14:textId="44D74AD2" w:rsidR="000551DA" w:rsidRDefault="000551DA" w:rsidP="002C7515"/>
    <w:sectPr w:rsidR="000551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3C7F" w14:textId="77777777" w:rsidR="00D77206" w:rsidRDefault="00D77206" w:rsidP="007C4ED6">
      <w:r>
        <w:separator/>
      </w:r>
    </w:p>
  </w:endnote>
  <w:endnote w:type="continuationSeparator" w:id="0">
    <w:p w14:paraId="11216E2B" w14:textId="77777777" w:rsidR="00D77206" w:rsidRDefault="00D77206" w:rsidP="007C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楷書體W7">
    <w:altName w:val="新細明體"/>
    <w:panose1 w:val="00000000000000000000"/>
    <w:charset w:val="88"/>
    <w:family w:val="roman"/>
    <w:notTrueType/>
    <w:pitch w:val="default"/>
  </w:font>
  <w:font w:name="華康粗黑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2058" w14:textId="77777777" w:rsidR="00D77206" w:rsidRDefault="00D77206" w:rsidP="007C4ED6">
      <w:r>
        <w:separator/>
      </w:r>
    </w:p>
  </w:footnote>
  <w:footnote w:type="continuationSeparator" w:id="0">
    <w:p w14:paraId="2100157B" w14:textId="77777777" w:rsidR="00D77206" w:rsidRDefault="00D77206" w:rsidP="007C4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15"/>
    <w:rsid w:val="000551DA"/>
    <w:rsid w:val="002C7515"/>
    <w:rsid w:val="007C4ED6"/>
    <w:rsid w:val="00D77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16F9"/>
  <w15:chartTrackingRefBased/>
  <w15:docId w15:val="{E791FF32-6B08-4C79-8970-C58DF4BD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ED6"/>
    <w:pPr>
      <w:tabs>
        <w:tab w:val="center" w:pos="4153"/>
        <w:tab w:val="right" w:pos="8306"/>
      </w:tabs>
      <w:snapToGrid w:val="0"/>
    </w:pPr>
    <w:rPr>
      <w:sz w:val="20"/>
      <w:szCs w:val="20"/>
    </w:rPr>
  </w:style>
  <w:style w:type="character" w:customStyle="1" w:styleId="a4">
    <w:name w:val="頁首 字元"/>
    <w:basedOn w:val="a0"/>
    <w:link w:val="a3"/>
    <w:uiPriority w:val="99"/>
    <w:rsid w:val="007C4ED6"/>
    <w:rPr>
      <w:sz w:val="20"/>
      <w:szCs w:val="20"/>
    </w:rPr>
  </w:style>
  <w:style w:type="paragraph" w:styleId="a5">
    <w:name w:val="footer"/>
    <w:basedOn w:val="a"/>
    <w:link w:val="a6"/>
    <w:uiPriority w:val="99"/>
    <w:unhideWhenUsed/>
    <w:rsid w:val="007C4ED6"/>
    <w:pPr>
      <w:tabs>
        <w:tab w:val="center" w:pos="4153"/>
        <w:tab w:val="right" w:pos="8306"/>
      </w:tabs>
      <w:snapToGrid w:val="0"/>
    </w:pPr>
    <w:rPr>
      <w:sz w:val="20"/>
      <w:szCs w:val="20"/>
    </w:rPr>
  </w:style>
  <w:style w:type="character" w:customStyle="1" w:styleId="a6">
    <w:name w:val="頁尾 字元"/>
    <w:basedOn w:val="a0"/>
    <w:link w:val="a5"/>
    <w:uiPriority w:val="99"/>
    <w:rsid w:val="007C4E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claire.lin</dc:creator>
  <cp:keywords/>
  <dc:description/>
  <cp:lastModifiedBy>claire.lin</cp:lastModifiedBy>
  <cp:revision>2</cp:revision>
  <dcterms:created xsi:type="dcterms:W3CDTF">2023-11-06T08:32:00Z</dcterms:created>
  <dcterms:modified xsi:type="dcterms:W3CDTF">2023-11-06T08:34:00Z</dcterms:modified>
</cp:coreProperties>
</file>