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3F9A58" w14:textId="4B7EA266" w:rsidR="006E4E6C" w:rsidRPr="001F00C8" w:rsidRDefault="006E4E6C" w:rsidP="00017589">
      <w:pPr>
        <w:snapToGrid w:val="0"/>
        <w:spacing w:line="276" w:lineRule="auto"/>
        <w:jc w:val="both"/>
        <w:rPr>
          <w:rFonts w:ascii="標楷體" w:eastAsia="標楷體" w:hAnsi="標楷體"/>
          <w:b/>
          <w:bCs/>
          <w:sz w:val="36"/>
          <w:szCs w:val="32"/>
        </w:rPr>
      </w:pPr>
      <w:r w:rsidRPr="001F00C8">
        <w:rPr>
          <w:rFonts w:ascii="標楷體" w:eastAsia="標楷體" w:hAnsi="標楷體" w:hint="eastAsia"/>
          <w:b/>
          <w:bCs/>
          <w:sz w:val="36"/>
          <w:szCs w:val="32"/>
        </w:rPr>
        <w:t>企業</w:t>
      </w:r>
      <w:r w:rsidR="00C24218" w:rsidRPr="001F00C8">
        <w:rPr>
          <w:rFonts w:ascii="標楷體" w:eastAsia="標楷體" w:hAnsi="標楷體" w:hint="eastAsia"/>
          <w:b/>
          <w:bCs/>
          <w:sz w:val="36"/>
          <w:szCs w:val="32"/>
        </w:rPr>
        <w:t>社會責任</w:t>
      </w:r>
    </w:p>
    <w:p w14:paraId="4B60F3B3" w14:textId="74185803" w:rsidR="00073088" w:rsidRPr="00017589" w:rsidRDefault="00C24218" w:rsidP="00017589">
      <w:pPr>
        <w:pStyle w:val="a9"/>
        <w:numPr>
          <w:ilvl w:val="0"/>
          <w:numId w:val="7"/>
        </w:numPr>
        <w:snapToGrid w:val="0"/>
        <w:spacing w:line="276" w:lineRule="auto"/>
        <w:ind w:leftChars="0"/>
        <w:jc w:val="both"/>
        <w:rPr>
          <w:rFonts w:ascii="標楷體" w:eastAsia="標楷體" w:hAnsi="標楷體"/>
        </w:rPr>
      </w:pPr>
      <w:r w:rsidRPr="00017589">
        <w:rPr>
          <w:rFonts w:ascii="標楷體" w:eastAsia="標楷體" w:hAnsi="標楷體" w:hint="eastAsia"/>
        </w:rPr>
        <w:t>永續發展推動組織</w:t>
      </w:r>
    </w:p>
    <w:p w14:paraId="63DA6181" w14:textId="17FF4C08" w:rsidR="00C24218" w:rsidRPr="001F00C8" w:rsidRDefault="00C24218" w:rsidP="00017589">
      <w:pPr>
        <w:snapToGrid w:val="0"/>
        <w:spacing w:line="276" w:lineRule="auto"/>
        <w:jc w:val="both"/>
        <w:rPr>
          <w:rFonts w:ascii="標楷體" w:eastAsia="標楷體" w:hAnsi="標楷體"/>
          <w:szCs w:val="24"/>
        </w:rPr>
      </w:pPr>
      <w:r w:rsidRPr="001F00C8">
        <w:rPr>
          <w:rFonts w:ascii="標楷體" w:eastAsia="標楷體" w:hAnsi="標楷體" w:hint="eastAsia"/>
        </w:rPr>
        <w:t>伍豐科技永續發展委員會於</w:t>
      </w:r>
      <w:r w:rsidRPr="001F00C8">
        <w:rPr>
          <w:rFonts w:ascii="標楷體" w:eastAsia="標楷體" w:hAnsi="標楷體" w:hint="eastAsia"/>
          <w:szCs w:val="24"/>
        </w:rPr>
        <w:t>民國</w:t>
      </w:r>
      <w:r w:rsidRPr="001F00C8">
        <w:rPr>
          <w:rFonts w:ascii="標楷體" w:eastAsia="標楷體" w:hAnsi="標楷體"/>
          <w:szCs w:val="24"/>
        </w:rPr>
        <w:t>111</w:t>
      </w:r>
      <w:r w:rsidRPr="001F00C8">
        <w:rPr>
          <w:rFonts w:ascii="標楷體" w:eastAsia="標楷體" w:hAnsi="標楷體" w:hint="eastAsia"/>
          <w:szCs w:val="24"/>
        </w:rPr>
        <w:t>年</w:t>
      </w:r>
      <w:r w:rsidRPr="001F00C8">
        <w:rPr>
          <w:rFonts w:ascii="標楷體" w:eastAsia="標楷體" w:hAnsi="標楷體"/>
          <w:szCs w:val="24"/>
        </w:rPr>
        <w:t>8</w:t>
      </w:r>
      <w:r w:rsidRPr="001F00C8">
        <w:rPr>
          <w:rFonts w:ascii="標楷體" w:eastAsia="標楷體" w:hAnsi="標楷體" w:hint="eastAsia"/>
          <w:szCs w:val="24"/>
        </w:rPr>
        <w:t>月</w:t>
      </w:r>
      <w:r w:rsidRPr="001F00C8">
        <w:rPr>
          <w:rFonts w:ascii="標楷體" w:eastAsia="標楷體" w:hAnsi="標楷體"/>
          <w:szCs w:val="24"/>
        </w:rPr>
        <w:t>11</w:t>
      </w:r>
      <w:r w:rsidRPr="001F00C8">
        <w:rPr>
          <w:rFonts w:ascii="標楷體" w:eastAsia="標楷體" w:hAnsi="標楷體" w:hint="eastAsia"/>
          <w:szCs w:val="24"/>
        </w:rPr>
        <w:t>日，經董事會通過成立永續發展委員會，委任本公司董事長徐明哲</w:t>
      </w:r>
      <w:r w:rsidR="00877EC9" w:rsidRPr="001F00C8">
        <w:rPr>
          <w:rFonts w:ascii="標楷體" w:eastAsia="標楷體" w:hAnsi="標楷體" w:hint="eastAsia"/>
          <w:szCs w:val="24"/>
        </w:rPr>
        <w:t>為</w:t>
      </w:r>
      <w:r w:rsidRPr="001F00C8">
        <w:rPr>
          <w:rFonts w:ascii="標楷體" w:eastAsia="標楷體" w:hAnsi="標楷體" w:hint="eastAsia"/>
          <w:szCs w:val="24"/>
        </w:rPr>
        <w:t>召集人</w:t>
      </w:r>
      <w:r w:rsidR="00877EC9" w:rsidRPr="001F00C8">
        <w:rPr>
          <w:rFonts w:ascii="標楷體" w:eastAsia="標楷體" w:hAnsi="標楷體" w:hint="eastAsia"/>
          <w:szCs w:val="24"/>
        </w:rPr>
        <w:t>，</w:t>
      </w:r>
      <w:r w:rsidRPr="001F00C8">
        <w:rPr>
          <w:rFonts w:ascii="標楷體" w:eastAsia="標楷體" w:hAnsi="標楷體" w:hint="eastAsia"/>
          <w:szCs w:val="24"/>
        </w:rPr>
        <w:t>副董事長朱聖昉及財會處長賴盈甫，擔任永續發展委員，</w:t>
      </w:r>
      <w:r w:rsidR="00877EC9" w:rsidRPr="001F00C8">
        <w:rPr>
          <w:rFonts w:ascii="標楷體" w:eastAsia="標楷體" w:hAnsi="標楷體" w:hint="eastAsia"/>
          <w:szCs w:val="24"/>
        </w:rPr>
        <w:t>共同</w:t>
      </w:r>
      <w:r w:rsidRPr="001F00C8">
        <w:rPr>
          <w:rFonts w:ascii="標楷體" w:eastAsia="標楷體" w:hAnsi="標楷體" w:hint="eastAsia"/>
          <w:szCs w:val="24"/>
        </w:rPr>
        <w:t>推動本公司永續發展。</w:t>
      </w:r>
    </w:p>
    <w:p w14:paraId="486AABB4" w14:textId="1D0A8F84" w:rsidR="00E9156B" w:rsidRPr="00017589" w:rsidRDefault="009D5D94" w:rsidP="00017589">
      <w:pPr>
        <w:pStyle w:val="a9"/>
        <w:numPr>
          <w:ilvl w:val="0"/>
          <w:numId w:val="7"/>
        </w:numPr>
        <w:snapToGrid w:val="0"/>
        <w:spacing w:line="276" w:lineRule="auto"/>
        <w:ind w:leftChars="0"/>
        <w:jc w:val="both"/>
        <w:rPr>
          <w:rFonts w:ascii="標楷體" w:eastAsia="標楷體" w:hAnsi="標楷體"/>
        </w:rPr>
      </w:pPr>
      <w:r w:rsidRPr="00017589">
        <w:rPr>
          <w:rFonts w:ascii="標楷體" w:eastAsia="標楷體" w:hAnsi="標楷體" w:hint="eastAsia"/>
        </w:rPr>
        <w:t>永續發展</w:t>
      </w:r>
      <w:r w:rsidR="00F66484" w:rsidRPr="00017589">
        <w:rPr>
          <w:rFonts w:ascii="標楷體" w:eastAsia="標楷體" w:hAnsi="標楷體" w:hint="eastAsia"/>
        </w:rPr>
        <w:t>組織</w:t>
      </w:r>
      <w:r w:rsidRPr="00017589">
        <w:rPr>
          <w:rFonts w:ascii="標楷體" w:eastAsia="標楷體" w:hAnsi="標楷體" w:hint="eastAsia"/>
        </w:rPr>
        <w:t>職責</w:t>
      </w:r>
    </w:p>
    <w:p w14:paraId="37004F2C" w14:textId="7FE804A4" w:rsidR="00E9156B" w:rsidRPr="001F00C8" w:rsidRDefault="00E9156B" w:rsidP="00017589">
      <w:pPr>
        <w:snapToGrid w:val="0"/>
        <w:spacing w:line="276" w:lineRule="auto"/>
        <w:jc w:val="both"/>
        <w:rPr>
          <w:rFonts w:ascii="標楷體" w:eastAsia="標楷體" w:hAnsi="標楷體"/>
          <w:szCs w:val="24"/>
        </w:rPr>
      </w:pPr>
      <w:r w:rsidRPr="001F00C8">
        <w:rPr>
          <w:rFonts w:ascii="標楷體" w:eastAsia="標楷體" w:hAnsi="標楷體" w:hint="eastAsia"/>
          <w:szCs w:val="24"/>
        </w:rPr>
        <w:t>永續發展委員會之職責為協助董事會持續推動永續發展與提升公司治理，以實踐永續經營之目的，其職權應包括下列事項：</w:t>
      </w:r>
    </w:p>
    <w:p w14:paraId="21EA19F6" w14:textId="25023569" w:rsidR="00E9156B" w:rsidRPr="001F00C8" w:rsidRDefault="00E9156B" w:rsidP="00017589">
      <w:pPr>
        <w:snapToGrid w:val="0"/>
        <w:spacing w:line="276" w:lineRule="auto"/>
        <w:jc w:val="both"/>
        <w:rPr>
          <w:rFonts w:ascii="標楷體" w:eastAsia="標楷體" w:hAnsi="標楷體"/>
          <w:szCs w:val="24"/>
        </w:rPr>
      </w:pPr>
      <w:r w:rsidRPr="001F00C8">
        <w:rPr>
          <w:rFonts w:ascii="標楷體" w:eastAsia="標楷體" w:hAnsi="標楷體" w:hint="eastAsia"/>
          <w:szCs w:val="24"/>
        </w:rPr>
        <w:t>(一)制定永續發展方向及目標，並擬定相關管理方針及具體推動計畫。</w:t>
      </w:r>
    </w:p>
    <w:p w14:paraId="2CF2B714" w14:textId="25E31421" w:rsidR="00E9156B" w:rsidRPr="001F00C8" w:rsidRDefault="00E9156B" w:rsidP="00017589">
      <w:pPr>
        <w:snapToGrid w:val="0"/>
        <w:spacing w:line="276" w:lineRule="auto"/>
        <w:jc w:val="both"/>
        <w:rPr>
          <w:rFonts w:ascii="標楷體" w:eastAsia="標楷體" w:hAnsi="標楷體"/>
          <w:szCs w:val="24"/>
        </w:rPr>
      </w:pPr>
      <w:r w:rsidRPr="001F00C8">
        <w:rPr>
          <w:rFonts w:ascii="標楷體" w:eastAsia="標楷體" w:hAnsi="標楷體" w:hint="eastAsia"/>
          <w:szCs w:val="24"/>
        </w:rPr>
        <w:t>(二)宣導及落實公司誠信經營及風險管理等面向之相關工作。</w:t>
      </w:r>
    </w:p>
    <w:p w14:paraId="76664365" w14:textId="5E0A0A39" w:rsidR="00E9156B" w:rsidRPr="001F00C8" w:rsidRDefault="00E9156B" w:rsidP="00017589">
      <w:pPr>
        <w:snapToGrid w:val="0"/>
        <w:spacing w:line="276" w:lineRule="auto"/>
        <w:jc w:val="both"/>
        <w:rPr>
          <w:rFonts w:ascii="標楷體" w:eastAsia="標楷體" w:hAnsi="標楷體"/>
          <w:szCs w:val="24"/>
        </w:rPr>
      </w:pPr>
      <w:r w:rsidRPr="001F00C8">
        <w:rPr>
          <w:rFonts w:ascii="標楷體" w:eastAsia="標楷體" w:hAnsi="標楷體" w:hint="eastAsia"/>
          <w:szCs w:val="24"/>
        </w:rPr>
        <w:t>(三)企業永續發展執行情形與成效之追蹤、檢視與修訂。</w:t>
      </w:r>
    </w:p>
    <w:p w14:paraId="4C345E52" w14:textId="3DD65E66" w:rsidR="00E9156B" w:rsidRPr="001F00C8" w:rsidRDefault="00E9156B" w:rsidP="00017589">
      <w:pPr>
        <w:snapToGrid w:val="0"/>
        <w:spacing w:line="276" w:lineRule="auto"/>
        <w:jc w:val="both"/>
        <w:rPr>
          <w:rFonts w:ascii="標楷體" w:eastAsia="標楷體" w:hAnsi="標楷體"/>
          <w:szCs w:val="24"/>
        </w:rPr>
      </w:pPr>
      <w:r w:rsidRPr="001F00C8">
        <w:rPr>
          <w:rFonts w:ascii="標楷體" w:eastAsia="標楷體" w:hAnsi="標楷體" w:hint="eastAsia"/>
          <w:szCs w:val="24"/>
        </w:rPr>
        <w:t>(四)其他經董事會決議由本委員會辦理之事項。</w:t>
      </w:r>
    </w:p>
    <w:p w14:paraId="37C265F9" w14:textId="77777777" w:rsidR="00E9156B" w:rsidRPr="00F42E22" w:rsidRDefault="00E9156B" w:rsidP="00E9156B">
      <w:pPr>
        <w:snapToGrid w:val="0"/>
        <w:jc w:val="both"/>
        <w:rPr>
          <w:rFonts w:ascii="標楷體" w:eastAsia="標楷體" w:hAnsi="標楷體"/>
          <w:szCs w:val="24"/>
        </w:rPr>
      </w:pPr>
    </w:p>
    <w:p w14:paraId="1E8A9567" w14:textId="1AA38E70" w:rsidR="00E9156B" w:rsidRPr="00F42E22" w:rsidRDefault="00E9156B" w:rsidP="00017589">
      <w:pPr>
        <w:snapToGrid w:val="0"/>
        <w:spacing w:line="276" w:lineRule="auto"/>
        <w:jc w:val="both"/>
        <w:rPr>
          <w:rFonts w:ascii="標楷體" w:eastAsia="標楷體" w:hAnsi="標楷體"/>
          <w:szCs w:val="24"/>
        </w:rPr>
      </w:pPr>
      <w:r w:rsidRPr="00F42E22">
        <w:rPr>
          <w:rFonts w:ascii="標楷體" w:eastAsia="標楷體" w:hAnsi="標楷體" w:hint="eastAsia"/>
          <w:szCs w:val="24"/>
        </w:rPr>
        <w:t>本公司永續發展委員會11</w:t>
      </w:r>
      <w:r w:rsidR="004C75C9" w:rsidRPr="00F42E22">
        <w:rPr>
          <w:rFonts w:ascii="標楷體" w:eastAsia="標楷體" w:hAnsi="標楷體" w:hint="eastAsia"/>
          <w:szCs w:val="24"/>
        </w:rPr>
        <w:t>3</w:t>
      </w:r>
      <w:r w:rsidRPr="00F42E22">
        <w:rPr>
          <w:rFonts w:ascii="標楷體" w:eastAsia="標楷體" w:hAnsi="標楷體" w:hint="eastAsia"/>
          <w:szCs w:val="24"/>
        </w:rPr>
        <w:t>年共召開</w:t>
      </w:r>
      <w:r w:rsidR="004C75C9" w:rsidRPr="00F42E22">
        <w:rPr>
          <w:rFonts w:ascii="標楷體" w:eastAsia="標楷體" w:hAnsi="標楷體" w:hint="eastAsia"/>
          <w:szCs w:val="24"/>
        </w:rPr>
        <w:t>2</w:t>
      </w:r>
      <w:r w:rsidRPr="00F42E22">
        <w:rPr>
          <w:rFonts w:ascii="標楷體" w:eastAsia="標楷體" w:hAnsi="標楷體" w:hint="eastAsia"/>
          <w:szCs w:val="24"/>
        </w:rPr>
        <w:t>次會議，並於11</w:t>
      </w:r>
      <w:r w:rsidR="004C75C9" w:rsidRPr="00F42E22">
        <w:rPr>
          <w:rFonts w:ascii="標楷體" w:eastAsia="標楷體" w:hAnsi="標楷體" w:hint="eastAsia"/>
          <w:szCs w:val="24"/>
        </w:rPr>
        <w:t>4</w:t>
      </w:r>
      <w:r w:rsidRPr="00F42E22">
        <w:rPr>
          <w:rFonts w:ascii="標楷體" w:eastAsia="標楷體" w:hAnsi="標楷體" w:hint="eastAsia"/>
          <w:szCs w:val="24"/>
        </w:rPr>
        <w:t>年8月1</w:t>
      </w:r>
      <w:r w:rsidR="004C75C9" w:rsidRPr="00F42E22">
        <w:rPr>
          <w:rFonts w:ascii="標楷體" w:eastAsia="標楷體" w:hAnsi="標楷體" w:hint="eastAsia"/>
          <w:szCs w:val="24"/>
        </w:rPr>
        <w:t>3</w:t>
      </w:r>
      <w:r w:rsidRPr="00F42E22">
        <w:rPr>
          <w:rFonts w:ascii="標楷體" w:eastAsia="標楷體" w:hAnsi="標楷體" w:hint="eastAsia"/>
          <w:szCs w:val="24"/>
        </w:rPr>
        <w:t>日</w:t>
      </w:r>
      <w:r w:rsidR="004C75C9" w:rsidRPr="00F42E22">
        <w:rPr>
          <w:rFonts w:ascii="標楷體" w:eastAsia="標楷體" w:hAnsi="標楷體" w:hint="eastAsia"/>
          <w:szCs w:val="24"/>
        </w:rPr>
        <w:t>由永續發展委員會通過並提報董事會2024</w:t>
      </w:r>
      <w:r w:rsidR="00A66B4F" w:rsidRPr="00F42E22">
        <w:rPr>
          <w:rFonts w:ascii="標楷體" w:eastAsia="標楷體" w:hAnsi="標楷體" w:hint="eastAsia"/>
          <w:szCs w:val="24"/>
        </w:rPr>
        <w:t>年度重大主題、永續發展政策、制度或相關管理方針及具體推動計畫</w:t>
      </w:r>
      <w:r w:rsidR="004C75C9" w:rsidRPr="00F42E22">
        <w:rPr>
          <w:rFonts w:ascii="標楷體" w:eastAsia="標楷體" w:hAnsi="標楷體" w:hint="eastAsia"/>
          <w:szCs w:val="24"/>
        </w:rPr>
        <w:t>。</w:t>
      </w:r>
    </w:p>
    <w:p w14:paraId="3593DC9A" w14:textId="52064B98" w:rsidR="000C108E" w:rsidRPr="000C108E" w:rsidRDefault="000C108E" w:rsidP="000C108E">
      <w:pPr>
        <w:snapToGrid w:val="0"/>
        <w:spacing w:line="276" w:lineRule="auto"/>
        <w:jc w:val="both"/>
        <w:rPr>
          <w:rFonts w:ascii="標楷體" w:eastAsia="標楷體" w:hAnsi="標楷體"/>
          <w:szCs w:val="24"/>
        </w:rPr>
      </w:pPr>
      <w:r w:rsidRPr="00F42E22">
        <w:rPr>
          <w:rFonts w:ascii="標楷體" w:eastAsia="標楷體" w:hAnsi="標楷體" w:hint="eastAsia"/>
          <w:szCs w:val="24"/>
        </w:rPr>
        <w:t>本公司董事會每季定期聽取經營團隊的報告，經營階層必須對董事會提擬公司策略，董事會必須評判這些策略成功的可能性，也必須經常檢視策略的進展，</w:t>
      </w:r>
      <w:r w:rsidRPr="000C108E">
        <w:rPr>
          <w:rFonts w:ascii="標楷體" w:eastAsia="標楷體" w:hAnsi="標楷體" w:hint="eastAsia"/>
          <w:szCs w:val="24"/>
        </w:rPr>
        <w:t>並且在需要時敦促經營團隊進行調整。</w:t>
      </w:r>
    </w:p>
    <w:p w14:paraId="562591EA" w14:textId="77777777" w:rsidR="00E9156B" w:rsidRPr="001F00C8" w:rsidRDefault="00E9156B" w:rsidP="00017589">
      <w:pPr>
        <w:snapToGrid w:val="0"/>
        <w:spacing w:line="276" w:lineRule="auto"/>
        <w:jc w:val="both"/>
        <w:rPr>
          <w:rFonts w:ascii="標楷體" w:eastAsia="標楷體" w:hAnsi="標楷體"/>
          <w:szCs w:val="24"/>
        </w:rPr>
      </w:pPr>
    </w:p>
    <w:p w14:paraId="0CD5FE6A" w14:textId="6EBB5F10" w:rsidR="00980A0D" w:rsidRPr="00017589" w:rsidRDefault="00F0208B" w:rsidP="00017589">
      <w:pPr>
        <w:pStyle w:val="a9"/>
        <w:numPr>
          <w:ilvl w:val="0"/>
          <w:numId w:val="7"/>
        </w:numPr>
        <w:snapToGrid w:val="0"/>
        <w:spacing w:line="276" w:lineRule="auto"/>
        <w:ind w:leftChars="0"/>
        <w:jc w:val="both"/>
        <w:rPr>
          <w:rFonts w:ascii="標楷體" w:eastAsia="標楷體" w:hAnsi="標楷體"/>
        </w:rPr>
      </w:pPr>
      <w:r w:rsidRPr="00017589">
        <w:rPr>
          <w:rFonts w:ascii="標楷體" w:eastAsia="標楷體" w:hAnsi="標楷體" w:hint="eastAsia"/>
        </w:rPr>
        <w:t>各項風險之管理方式與執行成效</w:t>
      </w:r>
    </w:p>
    <w:p w14:paraId="64BCE393" w14:textId="6C9AB743" w:rsidR="00F0208B" w:rsidRPr="001F00C8" w:rsidRDefault="00F0208B" w:rsidP="00017589">
      <w:pPr>
        <w:snapToGrid w:val="0"/>
        <w:spacing w:line="276" w:lineRule="auto"/>
        <w:jc w:val="both"/>
        <w:rPr>
          <w:rFonts w:ascii="標楷體" w:eastAsia="標楷體" w:hAnsi="標楷體"/>
        </w:rPr>
      </w:pPr>
      <w:r w:rsidRPr="001F00C8">
        <w:rPr>
          <w:rFonts w:ascii="標楷體" w:eastAsia="標楷體" w:hAnsi="標楷體" w:hint="eastAsia"/>
        </w:rPr>
        <w:t>本公司已依重大性原則由管理階層辨識出營運上的各項風險，並針對各風險訂定相應的管理方式，並定期檢視各項風險管理措施之執行成效，以達成企業經營之穩健。</w:t>
      </w:r>
    </w:p>
    <w:tbl>
      <w:tblPr>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28" w:type="dxa"/>
          <w:right w:w="28" w:type="dxa"/>
        </w:tblCellMar>
        <w:tblLook w:val="04A0" w:firstRow="1" w:lastRow="0" w:firstColumn="1" w:lastColumn="0" w:noHBand="0" w:noVBand="1"/>
      </w:tblPr>
      <w:tblGrid>
        <w:gridCol w:w="615"/>
        <w:gridCol w:w="1223"/>
        <w:gridCol w:w="4536"/>
        <w:gridCol w:w="2760"/>
      </w:tblGrid>
      <w:tr w:rsidR="00F0208B" w:rsidRPr="001F00C8" w14:paraId="634E7D65" w14:textId="77777777" w:rsidTr="00595408">
        <w:trPr>
          <w:trHeight w:val="358"/>
        </w:trPr>
        <w:tc>
          <w:tcPr>
            <w:tcW w:w="615" w:type="dxa"/>
          </w:tcPr>
          <w:p w14:paraId="37A308CF" w14:textId="77777777" w:rsidR="00F0208B" w:rsidRPr="001F00C8" w:rsidRDefault="00F0208B" w:rsidP="00017589">
            <w:pPr>
              <w:snapToGrid w:val="0"/>
              <w:spacing w:line="276" w:lineRule="auto"/>
              <w:jc w:val="center"/>
              <w:rPr>
                <w:rFonts w:ascii="標楷體" w:eastAsia="標楷體" w:hAnsi="標楷體"/>
                <w:b/>
                <w:bCs/>
              </w:rPr>
            </w:pPr>
            <w:r w:rsidRPr="001F00C8">
              <w:rPr>
                <w:rFonts w:ascii="標楷體" w:eastAsia="標楷體" w:hAnsi="標楷體" w:hint="eastAsia"/>
                <w:b/>
                <w:bCs/>
              </w:rPr>
              <w:t>永續面向</w:t>
            </w:r>
          </w:p>
        </w:tc>
        <w:tc>
          <w:tcPr>
            <w:tcW w:w="1223" w:type="dxa"/>
            <w:shd w:val="clear" w:color="auto" w:fill="auto"/>
            <w:vAlign w:val="center"/>
            <w:hideMark/>
          </w:tcPr>
          <w:p w14:paraId="0495CC70" w14:textId="0813C891" w:rsidR="00F0208B" w:rsidRPr="001F00C8" w:rsidRDefault="00F0208B" w:rsidP="00017589">
            <w:pPr>
              <w:snapToGrid w:val="0"/>
              <w:spacing w:line="276" w:lineRule="auto"/>
              <w:jc w:val="center"/>
              <w:rPr>
                <w:rFonts w:ascii="標楷體" w:eastAsia="標楷體" w:hAnsi="標楷體"/>
                <w:b/>
                <w:bCs/>
              </w:rPr>
            </w:pPr>
            <w:r w:rsidRPr="001F00C8">
              <w:rPr>
                <w:rFonts w:ascii="標楷體" w:eastAsia="標楷體" w:hAnsi="標楷體" w:hint="eastAsia"/>
                <w:b/>
                <w:bCs/>
              </w:rPr>
              <w:t>風險評估項目</w:t>
            </w:r>
          </w:p>
        </w:tc>
        <w:tc>
          <w:tcPr>
            <w:tcW w:w="4536" w:type="dxa"/>
            <w:shd w:val="clear" w:color="auto" w:fill="auto"/>
            <w:vAlign w:val="center"/>
          </w:tcPr>
          <w:p w14:paraId="01D092FF" w14:textId="7F157E3F" w:rsidR="00F0208B" w:rsidRPr="001F00C8" w:rsidRDefault="00F0208B" w:rsidP="00017589">
            <w:pPr>
              <w:snapToGrid w:val="0"/>
              <w:spacing w:line="276" w:lineRule="auto"/>
              <w:jc w:val="center"/>
              <w:rPr>
                <w:rFonts w:ascii="標楷體" w:eastAsia="標楷體" w:hAnsi="標楷體"/>
                <w:b/>
                <w:bCs/>
              </w:rPr>
            </w:pPr>
            <w:r w:rsidRPr="001F00C8">
              <w:rPr>
                <w:rFonts w:ascii="標楷體" w:eastAsia="標楷體" w:hAnsi="標楷體" w:hint="eastAsia"/>
                <w:b/>
                <w:bCs/>
              </w:rPr>
              <w:t>因應對策</w:t>
            </w:r>
          </w:p>
        </w:tc>
        <w:tc>
          <w:tcPr>
            <w:tcW w:w="2760" w:type="dxa"/>
            <w:shd w:val="clear" w:color="auto" w:fill="auto"/>
            <w:vAlign w:val="center"/>
          </w:tcPr>
          <w:p w14:paraId="39A3FDDB" w14:textId="77777777" w:rsidR="00F0208B" w:rsidRPr="001F00C8" w:rsidRDefault="00F0208B" w:rsidP="00017589">
            <w:pPr>
              <w:snapToGrid w:val="0"/>
              <w:spacing w:line="276" w:lineRule="auto"/>
              <w:jc w:val="center"/>
              <w:rPr>
                <w:rFonts w:ascii="標楷體" w:eastAsia="標楷體" w:hAnsi="標楷體"/>
                <w:b/>
                <w:bCs/>
              </w:rPr>
            </w:pPr>
            <w:r w:rsidRPr="001F00C8">
              <w:rPr>
                <w:rFonts w:ascii="標楷體" w:eastAsia="標楷體" w:hAnsi="標楷體" w:hint="eastAsia"/>
                <w:b/>
                <w:bCs/>
              </w:rPr>
              <w:t>執行成效</w:t>
            </w:r>
          </w:p>
        </w:tc>
      </w:tr>
      <w:tr w:rsidR="00F0208B" w:rsidRPr="001F00C8" w14:paraId="50D03311" w14:textId="77777777" w:rsidTr="00595408">
        <w:trPr>
          <w:trHeight w:val="656"/>
        </w:trPr>
        <w:tc>
          <w:tcPr>
            <w:tcW w:w="615" w:type="dxa"/>
          </w:tcPr>
          <w:p w14:paraId="552D7D6E" w14:textId="77777777" w:rsidR="00F0208B" w:rsidRPr="001F00C8" w:rsidRDefault="00F0208B" w:rsidP="00017589">
            <w:pPr>
              <w:snapToGrid w:val="0"/>
              <w:spacing w:line="276" w:lineRule="auto"/>
              <w:jc w:val="both"/>
              <w:rPr>
                <w:rFonts w:ascii="標楷體" w:eastAsia="標楷體" w:hAnsi="標楷體"/>
              </w:rPr>
            </w:pPr>
            <w:r w:rsidRPr="001F00C8">
              <w:rPr>
                <w:rFonts w:ascii="標楷體" w:eastAsia="標楷體" w:hAnsi="標楷體" w:hint="eastAsia"/>
              </w:rPr>
              <w:t>環境面</w:t>
            </w:r>
          </w:p>
        </w:tc>
        <w:tc>
          <w:tcPr>
            <w:tcW w:w="1223" w:type="dxa"/>
            <w:shd w:val="clear" w:color="auto" w:fill="auto"/>
            <w:noWrap/>
          </w:tcPr>
          <w:p w14:paraId="4D31DAD3" w14:textId="77777777" w:rsidR="00F0208B" w:rsidRPr="001F00C8" w:rsidRDefault="00F0208B" w:rsidP="00017589">
            <w:pPr>
              <w:snapToGrid w:val="0"/>
              <w:spacing w:line="276" w:lineRule="auto"/>
              <w:jc w:val="both"/>
              <w:rPr>
                <w:rFonts w:ascii="標楷體" w:eastAsia="標楷體" w:hAnsi="標楷體"/>
              </w:rPr>
            </w:pPr>
            <w:r w:rsidRPr="001F00C8">
              <w:rPr>
                <w:rFonts w:ascii="標楷體" w:eastAsia="標楷體" w:hAnsi="標楷體" w:hint="eastAsia"/>
              </w:rPr>
              <w:t>氣候變遷及環境風險</w:t>
            </w:r>
          </w:p>
        </w:tc>
        <w:tc>
          <w:tcPr>
            <w:tcW w:w="4536" w:type="dxa"/>
            <w:shd w:val="clear" w:color="auto" w:fill="auto"/>
          </w:tcPr>
          <w:p w14:paraId="0CA49FC8" w14:textId="77777777" w:rsidR="00F0208B" w:rsidRPr="00F42E22" w:rsidRDefault="00F0208B" w:rsidP="00017589">
            <w:pPr>
              <w:numPr>
                <w:ilvl w:val="0"/>
                <w:numId w:val="2"/>
              </w:numPr>
              <w:snapToGrid w:val="0"/>
              <w:spacing w:line="276" w:lineRule="auto"/>
              <w:jc w:val="both"/>
              <w:rPr>
                <w:rFonts w:ascii="標楷體" w:eastAsia="標楷體" w:hAnsi="標楷體"/>
              </w:rPr>
            </w:pPr>
            <w:r w:rsidRPr="00F42E22">
              <w:rPr>
                <w:rFonts w:ascii="標楷體" w:eastAsia="標楷體" w:hAnsi="標楷體" w:hint="eastAsia"/>
              </w:rPr>
              <w:t>伍豐於2022年度首度導入TCFD 架構，評估公司因氣候變遷所帶來之風險，以規劃可能之因應措施，降低氣候變遷對公司營運之影響。</w:t>
            </w:r>
          </w:p>
          <w:p w14:paraId="229267F1" w14:textId="77777777" w:rsidR="00F0208B" w:rsidRPr="00F42E22" w:rsidRDefault="00F0208B" w:rsidP="00017589">
            <w:pPr>
              <w:numPr>
                <w:ilvl w:val="0"/>
                <w:numId w:val="2"/>
              </w:numPr>
              <w:snapToGrid w:val="0"/>
              <w:spacing w:line="276" w:lineRule="auto"/>
              <w:jc w:val="both"/>
              <w:rPr>
                <w:rFonts w:ascii="標楷體" w:eastAsia="標楷體" w:hAnsi="標楷體"/>
              </w:rPr>
            </w:pPr>
            <w:r w:rsidRPr="00F42E22">
              <w:rPr>
                <w:rFonts w:ascii="標楷體" w:eastAsia="標楷體" w:hAnsi="標楷體" w:hint="eastAsia"/>
              </w:rPr>
              <w:t>已於2023年度取得</w:t>
            </w:r>
            <w:r w:rsidRPr="00F42E22">
              <w:rPr>
                <w:rFonts w:ascii="標楷體" w:eastAsia="標楷體" w:hAnsi="標楷體"/>
              </w:rPr>
              <w:t>ISO14001</w:t>
            </w:r>
            <w:r w:rsidRPr="00F42E22">
              <w:rPr>
                <w:rFonts w:ascii="標楷體" w:eastAsia="標楷體" w:hAnsi="標楷體" w:hint="eastAsia"/>
              </w:rPr>
              <w:t>，並規劃未來取得</w:t>
            </w:r>
            <w:r w:rsidRPr="00F42E22">
              <w:rPr>
                <w:rFonts w:ascii="標楷體" w:eastAsia="標楷體" w:hAnsi="標楷體"/>
              </w:rPr>
              <w:t>ISO 14064-1等管理系統之驗證，並透過相關負責單位與管理組織的運作，持續重視對能源、水資源、廢棄物、與空氣污染等議題的管理和改善，並透過教育訓練加強同仁的相關知識，以提升公司緊急應變能力，降低自然災害、環境事故與氣候</w:t>
            </w:r>
            <w:r w:rsidRPr="00F42E22">
              <w:rPr>
                <w:rFonts w:ascii="標楷體" w:eastAsia="標楷體" w:hAnsi="標楷體"/>
              </w:rPr>
              <w:lastRenderedPageBreak/>
              <w:t>變遷造成營運中斷的風險。</w:t>
            </w:r>
          </w:p>
        </w:tc>
        <w:tc>
          <w:tcPr>
            <w:tcW w:w="2760" w:type="dxa"/>
            <w:shd w:val="clear" w:color="auto" w:fill="auto"/>
          </w:tcPr>
          <w:p w14:paraId="65AA4970" w14:textId="597E03CF" w:rsidR="00F0208B" w:rsidRPr="00F42E22" w:rsidRDefault="00E80604" w:rsidP="00017589">
            <w:pPr>
              <w:snapToGrid w:val="0"/>
              <w:spacing w:line="276" w:lineRule="auto"/>
              <w:jc w:val="both"/>
              <w:rPr>
                <w:rFonts w:ascii="標楷體" w:eastAsia="標楷體" w:hAnsi="標楷體"/>
              </w:rPr>
            </w:pPr>
            <w:r w:rsidRPr="00F42E22">
              <w:rPr>
                <w:rFonts w:ascii="標楷體" w:eastAsia="標楷體" w:hAnsi="標楷體" w:hint="eastAsia"/>
              </w:rPr>
              <w:lastRenderedPageBreak/>
              <w:t>2024年度伍豐進行了完整的氣候變遷相關風險與機會之鑑別與評估。其餘各項與環境相關之管理認證將於未來年度逐步規劃執行。</w:t>
            </w:r>
          </w:p>
        </w:tc>
      </w:tr>
      <w:tr w:rsidR="00F0208B" w:rsidRPr="001F00C8" w14:paraId="360324EF" w14:textId="77777777" w:rsidTr="00595408">
        <w:trPr>
          <w:trHeight w:val="2986"/>
        </w:trPr>
        <w:tc>
          <w:tcPr>
            <w:tcW w:w="615" w:type="dxa"/>
          </w:tcPr>
          <w:p w14:paraId="5E43E3CC" w14:textId="77777777" w:rsidR="00F0208B" w:rsidRPr="001F00C8" w:rsidRDefault="00F0208B" w:rsidP="00017589">
            <w:pPr>
              <w:snapToGrid w:val="0"/>
              <w:spacing w:line="276" w:lineRule="auto"/>
              <w:jc w:val="both"/>
              <w:rPr>
                <w:rFonts w:ascii="標楷體" w:eastAsia="標楷體" w:hAnsi="標楷體"/>
              </w:rPr>
            </w:pPr>
            <w:r w:rsidRPr="001F00C8">
              <w:rPr>
                <w:rFonts w:ascii="標楷體" w:eastAsia="標楷體" w:hAnsi="標楷體" w:hint="eastAsia"/>
              </w:rPr>
              <w:t>社會面</w:t>
            </w:r>
          </w:p>
        </w:tc>
        <w:tc>
          <w:tcPr>
            <w:tcW w:w="1223" w:type="dxa"/>
            <w:shd w:val="clear" w:color="auto" w:fill="auto"/>
            <w:noWrap/>
          </w:tcPr>
          <w:p w14:paraId="6D86F408" w14:textId="77777777" w:rsidR="00F0208B" w:rsidRPr="001F00C8" w:rsidRDefault="00F0208B" w:rsidP="00017589">
            <w:pPr>
              <w:snapToGrid w:val="0"/>
              <w:spacing w:line="276" w:lineRule="auto"/>
              <w:jc w:val="both"/>
              <w:rPr>
                <w:rFonts w:ascii="標楷體" w:eastAsia="標楷體" w:hAnsi="標楷體"/>
              </w:rPr>
            </w:pPr>
            <w:r w:rsidRPr="001F00C8">
              <w:rPr>
                <w:rFonts w:ascii="標楷體" w:eastAsia="標楷體" w:hAnsi="標楷體" w:hint="eastAsia"/>
              </w:rPr>
              <w:t>原物料價格、供應鏈及通貨膨脹風險</w:t>
            </w:r>
          </w:p>
        </w:tc>
        <w:tc>
          <w:tcPr>
            <w:tcW w:w="4536" w:type="dxa"/>
            <w:shd w:val="clear" w:color="auto" w:fill="auto"/>
          </w:tcPr>
          <w:p w14:paraId="6D4CB876" w14:textId="77777777" w:rsidR="00F0208B" w:rsidRPr="00F42E22" w:rsidRDefault="00F0208B" w:rsidP="00017589">
            <w:pPr>
              <w:numPr>
                <w:ilvl w:val="0"/>
                <w:numId w:val="3"/>
              </w:numPr>
              <w:snapToGrid w:val="0"/>
              <w:spacing w:line="276" w:lineRule="auto"/>
              <w:jc w:val="both"/>
              <w:rPr>
                <w:rFonts w:ascii="標楷體" w:eastAsia="標楷體" w:hAnsi="標楷體"/>
              </w:rPr>
            </w:pPr>
            <w:r w:rsidRPr="00F42E22">
              <w:rPr>
                <w:rFonts w:ascii="標楷體" w:eastAsia="標楷體" w:hAnsi="標楷體" w:hint="eastAsia"/>
              </w:rPr>
              <w:t>伍豐訂有供應商管理辦法，透過作業流程管理確保供應商符合公司及客戶的需求和期望。</w:t>
            </w:r>
          </w:p>
          <w:p w14:paraId="334D73E4" w14:textId="77777777" w:rsidR="00F0208B" w:rsidRPr="00F42E22" w:rsidRDefault="00F0208B" w:rsidP="00017589">
            <w:pPr>
              <w:numPr>
                <w:ilvl w:val="0"/>
                <w:numId w:val="3"/>
              </w:numPr>
              <w:snapToGrid w:val="0"/>
              <w:spacing w:line="276" w:lineRule="auto"/>
              <w:jc w:val="both"/>
              <w:rPr>
                <w:rFonts w:ascii="標楷體" w:eastAsia="標楷體" w:hAnsi="標楷體"/>
              </w:rPr>
            </w:pPr>
            <w:r w:rsidRPr="00F42E22">
              <w:rPr>
                <w:rFonts w:ascii="標楷體" w:eastAsia="標楷體" w:hAnsi="標楷體" w:hint="eastAsia"/>
              </w:rPr>
              <w:t>在供應商的遴選上，進行多面向評估，使原物料供貨正常且品質、價格、交期符合要求。</w:t>
            </w:r>
          </w:p>
          <w:p w14:paraId="3D63B065" w14:textId="77777777" w:rsidR="00F0208B" w:rsidRPr="00F42E22" w:rsidRDefault="00F0208B" w:rsidP="00017589">
            <w:pPr>
              <w:numPr>
                <w:ilvl w:val="0"/>
                <w:numId w:val="3"/>
              </w:numPr>
              <w:snapToGrid w:val="0"/>
              <w:spacing w:line="276" w:lineRule="auto"/>
              <w:jc w:val="both"/>
              <w:rPr>
                <w:rFonts w:ascii="標楷體" w:eastAsia="標楷體" w:hAnsi="標楷體"/>
              </w:rPr>
            </w:pPr>
            <w:r w:rsidRPr="00F42E22">
              <w:rPr>
                <w:rFonts w:ascii="標楷體" w:eastAsia="標楷體" w:hAnsi="標楷體" w:hint="eastAsia"/>
              </w:rPr>
              <w:t>銷售之產品大多為針對特定客戶所需規格開發之產品，非一般消費性產品，故大多能將原物料成本因通貨膨脹情形而增加之部分反映於最終售價中。</w:t>
            </w:r>
          </w:p>
        </w:tc>
        <w:tc>
          <w:tcPr>
            <w:tcW w:w="2760" w:type="dxa"/>
            <w:shd w:val="clear" w:color="auto" w:fill="auto"/>
          </w:tcPr>
          <w:p w14:paraId="3472DFDE" w14:textId="0D7597F4" w:rsidR="00F0208B" w:rsidRPr="00F42E22" w:rsidRDefault="00E80604" w:rsidP="00017589">
            <w:pPr>
              <w:snapToGrid w:val="0"/>
              <w:spacing w:line="276" w:lineRule="auto"/>
              <w:jc w:val="both"/>
              <w:rPr>
                <w:rFonts w:ascii="標楷體" w:eastAsia="標楷體" w:hAnsi="標楷體"/>
              </w:rPr>
            </w:pPr>
            <w:r w:rsidRPr="00F42E22">
              <w:rPr>
                <w:rFonts w:ascii="標楷體" w:eastAsia="標楷體" w:hAnsi="標楷體" w:hint="eastAsia"/>
              </w:rPr>
              <w:t>伍豐隨時監控市場原物料價格及供貨情形，採取提前備貨等方式，以確保訂單正常出貨，伍豐2024年度之營業毛利為31%，相較2023年度之28%差異不大，並無因原物料短缺及通貨膨脹而產生重大不利風險。</w:t>
            </w:r>
          </w:p>
        </w:tc>
      </w:tr>
      <w:tr w:rsidR="00F0208B" w:rsidRPr="001F00C8" w14:paraId="7FD8921E" w14:textId="77777777" w:rsidTr="00595408">
        <w:trPr>
          <w:trHeight w:val="1110"/>
        </w:trPr>
        <w:tc>
          <w:tcPr>
            <w:tcW w:w="615" w:type="dxa"/>
            <w:vMerge w:val="restart"/>
          </w:tcPr>
          <w:p w14:paraId="31ACC422" w14:textId="77777777" w:rsidR="00F0208B" w:rsidRPr="001F00C8" w:rsidRDefault="00F0208B" w:rsidP="00017589">
            <w:pPr>
              <w:snapToGrid w:val="0"/>
              <w:spacing w:line="276" w:lineRule="auto"/>
              <w:jc w:val="both"/>
              <w:rPr>
                <w:rFonts w:ascii="標楷體" w:eastAsia="標楷體" w:hAnsi="標楷體"/>
              </w:rPr>
            </w:pPr>
            <w:r w:rsidRPr="001F00C8">
              <w:rPr>
                <w:rFonts w:ascii="標楷體" w:eastAsia="標楷體" w:hAnsi="標楷體" w:hint="eastAsia"/>
              </w:rPr>
              <w:t>公司治理面</w:t>
            </w:r>
          </w:p>
        </w:tc>
        <w:tc>
          <w:tcPr>
            <w:tcW w:w="1223" w:type="dxa"/>
            <w:shd w:val="clear" w:color="auto" w:fill="auto"/>
            <w:noWrap/>
            <w:hideMark/>
          </w:tcPr>
          <w:p w14:paraId="4BED27FD" w14:textId="77777777" w:rsidR="00F0208B" w:rsidRPr="001F00C8" w:rsidRDefault="00F0208B" w:rsidP="00017589">
            <w:pPr>
              <w:snapToGrid w:val="0"/>
              <w:spacing w:line="276" w:lineRule="auto"/>
              <w:jc w:val="both"/>
              <w:rPr>
                <w:rFonts w:ascii="標楷體" w:eastAsia="標楷體" w:hAnsi="標楷體"/>
              </w:rPr>
            </w:pPr>
            <w:r w:rsidRPr="001F00C8">
              <w:rPr>
                <w:rFonts w:ascii="標楷體" w:eastAsia="標楷體" w:hAnsi="標楷體" w:hint="eastAsia"/>
              </w:rPr>
              <w:t>利率風險</w:t>
            </w:r>
          </w:p>
        </w:tc>
        <w:tc>
          <w:tcPr>
            <w:tcW w:w="4536" w:type="dxa"/>
            <w:shd w:val="clear" w:color="auto" w:fill="auto"/>
            <w:hideMark/>
          </w:tcPr>
          <w:p w14:paraId="6423F45E" w14:textId="77777777" w:rsidR="00F0208B" w:rsidRPr="00F42E22" w:rsidRDefault="00F0208B" w:rsidP="00017589">
            <w:pPr>
              <w:numPr>
                <w:ilvl w:val="0"/>
                <w:numId w:val="4"/>
              </w:numPr>
              <w:snapToGrid w:val="0"/>
              <w:spacing w:line="276" w:lineRule="auto"/>
              <w:jc w:val="both"/>
              <w:rPr>
                <w:rFonts w:ascii="標楷體" w:eastAsia="標楷體" w:hAnsi="標楷體"/>
              </w:rPr>
            </w:pPr>
            <w:r w:rsidRPr="00F42E22">
              <w:rPr>
                <w:rFonts w:ascii="標楷體" w:eastAsia="標楷體" w:hAnsi="標楷體" w:hint="eastAsia"/>
              </w:rPr>
              <w:t>伍豐之營運資金部分來自融資活動，其資金成本受利率變動影響，為避免利率變動所可能造成之不利影響，本公司致力維持較低之負債比率，並由本公司財務處隨時注意資金成本水準，進行短、中、長期之資金規劃。</w:t>
            </w:r>
          </w:p>
          <w:p w14:paraId="5262A3B9" w14:textId="77777777" w:rsidR="00F0208B" w:rsidRPr="00F42E22" w:rsidRDefault="00F0208B" w:rsidP="00017589">
            <w:pPr>
              <w:numPr>
                <w:ilvl w:val="0"/>
                <w:numId w:val="4"/>
              </w:numPr>
              <w:snapToGrid w:val="0"/>
              <w:spacing w:line="276" w:lineRule="auto"/>
              <w:jc w:val="both"/>
              <w:rPr>
                <w:rFonts w:ascii="標楷體" w:eastAsia="標楷體" w:hAnsi="標楷體"/>
              </w:rPr>
            </w:pPr>
            <w:r w:rsidRPr="00F42E22">
              <w:rPr>
                <w:rFonts w:ascii="標楷體" w:eastAsia="標楷體" w:hAnsi="標楷體" w:hint="eastAsia"/>
              </w:rPr>
              <w:t>伍豐財務處若預期在未來營運模式下，營運資金需求將提高，除與目前已往來之金融機構申請融資額度做為未來週轉來源資金準備，並會同時評估資本市場不同籌資方式，故利率變動對本公司損益將有一定營運程度之影響，惟將不定期評估銀行借款利率，並與銀行保持良好關係，以取得較優惠利率，並視利率變動適時予以調整資金運用情形，或搭配不同籌資方式，以降低利率變化對本公司損益產生之影響。</w:t>
            </w:r>
          </w:p>
        </w:tc>
        <w:tc>
          <w:tcPr>
            <w:tcW w:w="2760" w:type="dxa"/>
            <w:shd w:val="clear" w:color="auto" w:fill="auto"/>
            <w:hideMark/>
          </w:tcPr>
          <w:p w14:paraId="50B3763B" w14:textId="77777777" w:rsidR="00E80604" w:rsidRPr="00F42E22" w:rsidRDefault="00E80604" w:rsidP="00E80604">
            <w:pPr>
              <w:snapToGrid w:val="0"/>
              <w:spacing w:line="276" w:lineRule="auto"/>
              <w:rPr>
                <w:rFonts w:ascii="標楷體" w:eastAsia="標楷體" w:hAnsi="標楷體"/>
              </w:rPr>
            </w:pPr>
            <w:r w:rsidRPr="00F42E22">
              <w:rPr>
                <w:rFonts w:ascii="標楷體" w:eastAsia="標楷體" w:hAnsi="標楷體" w:hint="eastAsia"/>
              </w:rPr>
              <w:t>伍豐2024年底自金融機構借款金額約1,180,000仟元，利率係按浮動利率調整，並發行固定利率之普通公司債500,000千元，以支應營運所需資金。</w:t>
            </w:r>
          </w:p>
          <w:p w14:paraId="1D02648F" w14:textId="0FCB8B01" w:rsidR="00F0208B" w:rsidRPr="00F42E22" w:rsidRDefault="00E80604" w:rsidP="00E80604">
            <w:pPr>
              <w:snapToGrid w:val="0"/>
              <w:spacing w:line="276" w:lineRule="auto"/>
              <w:jc w:val="both"/>
              <w:rPr>
                <w:rFonts w:ascii="標楷體" w:eastAsia="標楷體" w:hAnsi="標楷體"/>
              </w:rPr>
            </w:pPr>
            <w:r w:rsidRPr="00F42E22">
              <w:rPr>
                <w:rFonts w:ascii="標楷體" w:eastAsia="標楷體" w:hAnsi="標楷體" w:hint="eastAsia"/>
              </w:rPr>
              <w:t>經執行 2024年度之模擬之利率變動影響，於利率變動0.1%時，對伍豐之稅後淨利影響約為944仟元，尚不致營運產生重大不利風險。</w:t>
            </w:r>
          </w:p>
        </w:tc>
      </w:tr>
      <w:tr w:rsidR="00F0208B" w:rsidRPr="001F00C8" w14:paraId="63486ACD" w14:textId="77777777" w:rsidTr="00017589">
        <w:trPr>
          <w:trHeight w:val="1251"/>
        </w:trPr>
        <w:tc>
          <w:tcPr>
            <w:tcW w:w="615" w:type="dxa"/>
            <w:vMerge/>
          </w:tcPr>
          <w:p w14:paraId="326A96BD" w14:textId="77777777" w:rsidR="00F0208B" w:rsidRPr="001F00C8" w:rsidRDefault="00F0208B" w:rsidP="00017589">
            <w:pPr>
              <w:snapToGrid w:val="0"/>
              <w:spacing w:line="276" w:lineRule="auto"/>
              <w:jc w:val="both"/>
              <w:rPr>
                <w:rFonts w:ascii="標楷體" w:eastAsia="標楷體" w:hAnsi="標楷體"/>
              </w:rPr>
            </w:pPr>
          </w:p>
        </w:tc>
        <w:tc>
          <w:tcPr>
            <w:tcW w:w="1223" w:type="dxa"/>
            <w:shd w:val="clear" w:color="auto" w:fill="auto"/>
            <w:noWrap/>
            <w:hideMark/>
          </w:tcPr>
          <w:p w14:paraId="3E25A4A8" w14:textId="77777777" w:rsidR="00F0208B" w:rsidRPr="001F00C8" w:rsidRDefault="00F0208B" w:rsidP="00017589">
            <w:pPr>
              <w:snapToGrid w:val="0"/>
              <w:spacing w:line="276" w:lineRule="auto"/>
              <w:jc w:val="both"/>
              <w:rPr>
                <w:rFonts w:ascii="標楷體" w:eastAsia="標楷體" w:hAnsi="標楷體"/>
              </w:rPr>
            </w:pPr>
            <w:r w:rsidRPr="001F00C8">
              <w:rPr>
                <w:rFonts w:ascii="標楷體" w:eastAsia="標楷體" w:hAnsi="標楷體" w:hint="eastAsia"/>
              </w:rPr>
              <w:t>匯率風險</w:t>
            </w:r>
          </w:p>
        </w:tc>
        <w:tc>
          <w:tcPr>
            <w:tcW w:w="4536" w:type="dxa"/>
            <w:shd w:val="clear" w:color="auto" w:fill="auto"/>
            <w:hideMark/>
          </w:tcPr>
          <w:p w14:paraId="452A8C42" w14:textId="77777777" w:rsidR="00F0208B" w:rsidRPr="00F42E22" w:rsidRDefault="00F0208B" w:rsidP="00017589">
            <w:pPr>
              <w:numPr>
                <w:ilvl w:val="0"/>
                <w:numId w:val="5"/>
              </w:numPr>
              <w:snapToGrid w:val="0"/>
              <w:spacing w:line="276" w:lineRule="auto"/>
              <w:jc w:val="both"/>
              <w:rPr>
                <w:rFonts w:ascii="標楷體" w:eastAsia="標楷體" w:hAnsi="標楷體"/>
              </w:rPr>
            </w:pPr>
            <w:r w:rsidRPr="00F42E22">
              <w:rPr>
                <w:rFonts w:ascii="標楷體" w:eastAsia="標楷體" w:hAnsi="標楷體" w:hint="eastAsia"/>
              </w:rPr>
              <w:t>伍豐財務處負責蒐集相關之匯率資訊並與往來銀行保持密切連繫，不定期參考銀行所提供的外匯資訊與建議，以充分掌握匯率的變化，研判未來走勢與長期趨勢。</w:t>
            </w:r>
          </w:p>
          <w:p w14:paraId="0C53A7E8" w14:textId="77777777" w:rsidR="00F0208B" w:rsidRPr="00F42E22" w:rsidRDefault="00F0208B" w:rsidP="00017589">
            <w:pPr>
              <w:numPr>
                <w:ilvl w:val="0"/>
                <w:numId w:val="5"/>
              </w:numPr>
              <w:snapToGrid w:val="0"/>
              <w:spacing w:line="276" w:lineRule="auto"/>
              <w:jc w:val="both"/>
              <w:rPr>
                <w:rFonts w:ascii="標楷體" w:eastAsia="標楷體" w:hAnsi="標楷體"/>
              </w:rPr>
            </w:pPr>
            <w:r w:rsidRPr="00F42E22">
              <w:rPr>
                <w:rFonts w:ascii="標楷體" w:eastAsia="標楷體" w:hAnsi="標楷體" w:hint="eastAsia"/>
              </w:rPr>
              <w:t>透過電腦資料庫將匯率資料供業務人員接單時參考，以維持合理營業利</w:t>
            </w:r>
            <w:r w:rsidRPr="00F42E22">
              <w:rPr>
                <w:rFonts w:ascii="標楷體" w:eastAsia="標楷體" w:hAnsi="標楷體" w:hint="eastAsia"/>
              </w:rPr>
              <w:lastRenderedPageBreak/>
              <w:t>潤。</w:t>
            </w:r>
          </w:p>
          <w:p w14:paraId="005D204A" w14:textId="77777777" w:rsidR="00F0208B" w:rsidRPr="00F42E22" w:rsidRDefault="00F0208B" w:rsidP="00017589">
            <w:pPr>
              <w:numPr>
                <w:ilvl w:val="0"/>
                <w:numId w:val="5"/>
              </w:numPr>
              <w:snapToGrid w:val="0"/>
              <w:spacing w:line="276" w:lineRule="auto"/>
              <w:jc w:val="both"/>
              <w:rPr>
                <w:rFonts w:ascii="標楷體" w:eastAsia="標楷體" w:hAnsi="標楷體"/>
              </w:rPr>
            </w:pPr>
            <w:r w:rsidRPr="00F42E22">
              <w:rPr>
                <w:rFonts w:ascii="標楷體" w:eastAsia="標楷體" w:hAnsi="標楷體" w:hint="eastAsia"/>
              </w:rPr>
              <w:t>銷貨款結存於外幣帳戶，外幣帳戶視實際資金需求及匯率變動情形，適度調整外幣帳戶部位，並依據外幣資產部位做適當且合理的避險。</w:t>
            </w:r>
          </w:p>
        </w:tc>
        <w:tc>
          <w:tcPr>
            <w:tcW w:w="2760" w:type="dxa"/>
            <w:shd w:val="clear" w:color="auto" w:fill="auto"/>
            <w:hideMark/>
          </w:tcPr>
          <w:p w14:paraId="0FAC626B" w14:textId="6B7F8FBE" w:rsidR="00F0208B" w:rsidRPr="00F42E22" w:rsidRDefault="00E80604" w:rsidP="00017589">
            <w:pPr>
              <w:snapToGrid w:val="0"/>
              <w:spacing w:line="276" w:lineRule="auto"/>
              <w:jc w:val="both"/>
              <w:rPr>
                <w:rFonts w:ascii="標楷體" w:eastAsia="標楷體" w:hAnsi="標楷體"/>
              </w:rPr>
            </w:pPr>
            <w:r w:rsidRPr="00F42E22">
              <w:rPr>
                <w:rFonts w:ascii="標楷體" w:eastAsia="標楷體" w:hAnsi="標楷體" w:hint="eastAsia"/>
              </w:rPr>
              <w:lastRenderedPageBreak/>
              <w:t>2024年度本公司已實現兌換利益為5,320千元，未實現兌換虧損為42,080千元，未有因利率變動而產生重大不利風險。</w:t>
            </w:r>
          </w:p>
        </w:tc>
      </w:tr>
      <w:tr w:rsidR="00F0208B" w:rsidRPr="001F00C8" w14:paraId="578DC7A1" w14:textId="77777777" w:rsidTr="00595408">
        <w:trPr>
          <w:trHeight w:val="1119"/>
        </w:trPr>
        <w:tc>
          <w:tcPr>
            <w:tcW w:w="615" w:type="dxa"/>
            <w:vMerge/>
          </w:tcPr>
          <w:p w14:paraId="6C363110" w14:textId="77777777" w:rsidR="00F0208B" w:rsidRPr="001F00C8" w:rsidRDefault="00F0208B" w:rsidP="00017589">
            <w:pPr>
              <w:snapToGrid w:val="0"/>
              <w:spacing w:line="276" w:lineRule="auto"/>
              <w:jc w:val="both"/>
              <w:rPr>
                <w:rFonts w:ascii="標楷體" w:eastAsia="標楷體" w:hAnsi="標楷體"/>
              </w:rPr>
            </w:pPr>
            <w:bookmarkStart w:id="0" w:name="_GoBack" w:colFirst="2" w:colLast="3"/>
          </w:p>
        </w:tc>
        <w:tc>
          <w:tcPr>
            <w:tcW w:w="1223" w:type="dxa"/>
            <w:shd w:val="clear" w:color="auto" w:fill="auto"/>
            <w:noWrap/>
            <w:hideMark/>
          </w:tcPr>
          <w:p w14:paraId="7605291F" w14:textId="77777777" w:rsidR="00F0208B" w:rsidRPr="001F00C8" w:rsidRDefault="00F0208B" w:rsidP="00017589">
            <w:pPr>
              <w:snapToGrid w:val="0"/>
              <w:spacing w:line="276" w:lineRule="auto"/>
              <w:jc w:val="both"/>
              <w:rPr>
                <w:rFonts w:ascii="標楷體" w:eastAsia="標楷體" w:hAnsi="標楷體"/>
              </w:rPr>
            </w:pPr>
            <w:r w:rsidRPr="001F00C8">
              <w:rPr>
                <w:rFonts w:ascii="標楷體" w:eastAsia="標楷體" w:hAnsi="標楷體" w:hint="eastAsia"/>
              </w:rPr>
              <w:t>資安風險</w:t>
            </w:r>
          </w:p>
        </w:tc>
        <w:tc>
          <w:tcPr>
            <w:tcW w:w="4536" w:type="dxa"/>
            <w:shd w:val="clear" w:color="auto" w:fill="auto"/>
          </w:tcPr>
          <w:p w14:paraId="3F078345" w14:textId="77777777" w:rsidR="00F0208B" w:rsidRPr="00F42E22" w:rsidRDefault="00F0208B" w:rsidP="00017589">
            <w:pPr>
              <w:numPr>
                <w:ilvl w:val="0"/>
                <w:numId w:val="6"/>
              </w:numPr>
              <w:snapToGrid w:val="0"/>
              <w:spacing w:line="276" w:lineRule="auto"/>
              <w:jc w:val="both"/>
              <w:rPr>
                <w:rFonts w:ascii="標楷體" w:eastAsia="標楷體" w:hAnsi="標楷體"/>
              </w:rPr>
            </w:pPr>
            <w:r w:rsidRPr="00F42E22">
              <w:rPr>
                <w:rFonts w:ascii="標楷體" w:eastAsia="標楷體" w:hAnsi="標楷體" w:hint="eastAsia"/>
              </w:rPr>
              <w:t>伍豐將配合</w:t>
            </w:r>
            <w:r w:rsidRPr="00F42E22">
              <w:rPr>
                <w:rFonts w:ascii="標楷體" w:eastAsia="標楷體" w:hAnsi="標楷體"/>
              </w:rPr>
              <w:t>金管會於</w:t>
            </w:r>
            <w:r w:rsidRPr="00F42E22">
              <w:rPr>
                <w:rFonts w:ascii="標楷體" w:eastAsia="標楷體" w:hAnsi="標楷體" w:hint="eastAsia"/>
              </w:rPr>
              <w:t>2021</w:t>
            </w:r>
            <w:r w:rsidRPr="00F42E22">
              <w:rPr>
                <w:rFonts w:ascii="標楷體" w:eastAsia="標楷體" w:hAnsi="標楷體"/>
              </w:rPr>
              <w:t>年12月28日修正「公開發行公司建立內部控制制度處理準則」</w:t>
            </w:r>
            <w:r w:rsidRPr="00F42E22">
              <w:rPr>
                <w:rFonts w:ascii="標楷體" w:eastAsia="標楷體" w:hAnsi="標楷體" w:hint="eastAsia"/>
              </w:rPr>
              <w:t>及</w:t>
            </w:r>
            <w:r w:rsidRPr="00F42E22">
              <w:rPr>
                <w:rFonts w:ascii="標楷體" w:eastAsia="標楷體" w:hAnsi="標楷體"/>
              </w:rPr>
              <w:t>相關令釋</w:t>
            </w:r>
            <w:r w:rsidRPr="00F42E22">
              <w:rPr>
                <w:rFonts w:ascii="標楷體" w:eastAsia="標楷體" w:hAnsi="標楷體" w:hint="eastAsia"/>
              </w:rPr>
              <w:t>，於2023年8月1</w:t>
            </w:r>
            <w:r w:rsidRPr="00F42E22">
              <w:rPr>
                <w:rFonts w:ascii="標楷體" w:eastAsia="標楷體" w:hAnsi="標楷體"/>
              </w:rPr>
              <w:t>0</w:t>
            </w:r>
            <w:r w:rsidRPr="00F42E22">
              <w:rPr>
                <w:rFonts w:ascii="標楷體" w:eastAsia="標楷體" w:hAnsi="標楷體" w:hint="eastAsia"/>
              </w:rPr>
              <w:t>日設置資安專責主管及資安專責人員，並由本公司副董事長朱聖昉擔任資訊安全長，以因應本公司資安需求及資安風險。</w:t>
            </w:r>
          </w:p>
          <w:p w14:paraId="1E43D565" w14:textId="77777777" w:rsidR="00F0208B" w:rsidRPr="00F42E22" w:rsidRDefault="00F0208B" w:rsidP="00017589">
            <w:pPr>
              <w:numPr>
                <w:ilvl w:val="0"/>
                <w:numId w:val="6"/>
              </w:numPr>
              <w:snapToGrid w:val="0"/>
              <w:spacing w:line="276" w:lineRule="auto"/>
              <w:jc w:val="both"/>
              <w:rPr>
                <w:rFonts w:ascii="標楷體" w:eastAsia="標楷體" w:hAnsi="標楷體"/>
              </w:rPr>
            </w:pPr>
            <w:r w:rsidRPr="00F42E22">
              <w:rPr>
                <w:rFonts w:ascii="標楷體" w:eastAsia="標楷體" w:hAnsi="標楷體" w:hint="eastAsia"/>
              </w:rPr>
              <w:t>本公司已訂定資通安全相關內部控制制度，並將公司之資通安全政策轉知員工。</w:t>
            </w:r>
          </w:p>
          <w:p w14:paraId="03382B6B" w14:textId="77777777" w:rsidR="00F0208B" w:rsidRPr="00F42E22" w:rsidRDefault="00F0208B" w:rsidP="00017589">
            <w:pPr>
              <w:numPr>
                <w:ilvl w:val="0"/>
                <w:numId w:val="6"/>
              </w:numPr>
              <w:snapToGrid w:val="0"/>
              <w:spacing w:line="276" w:lineRule="auto"/>
              <w:jc w:val="both"/>
              <w:rPr>
                <w:rFonts w:ascii="標楷體" w:eastAsia="標楷體" w:hAnsi="標楷體"/>
              </w:rPr>
            </w:pPr>
            <w:r w:rsidRPr="00F42E22">
              <w:rPr>
                <w:rFonts w:ascii="標楷體" w:eastAsia="標楷體" w:hAnsi="標楷體" w:hint="eastAsia"/>
              </w:rPr>
              <w:t>本公司具體之資安控管包含：郵件及系統帳號均依規定為申請，公司裝設防火牆及防毒軟體，由資訊人員檢視是否有異常情形。機房設立門禁管制，未經授權人員進出予以管制，並定期執行資料檔案轉錄備援作業，確保備份資料之完整性等。</w:t>
            </w:r>
          </w:p>
          <w:p w14:paraId="2B5E49AD" w14:textId="26F86E70" w:rsidR="00E80604" w:rsidRPr="00F42E22" w:rsidRDefault="00E80604" w:rsidP="00017589">
            <w:pPr>
              <w:numPr>
                <w:ilvl w:val="0"/>
                <w:numId w:val="6"/>
              </w:numPr>
              <w:snapToGrid w:val="0"/>
              <w:spacing w:line="276" w:lineRule="auto"/>
              <w:jc w:val="both"/>
              <w:rPr>
                <w:rFonts w:ascii="標楷體" w:eastAsia="標楷體" w:hAnsi="標楷體"/>
              </w:rPr>
            </w:pPr>
            <w:r w:rsidRPr="00F42E22">
              <w:rPr>
                <w:rFonts w:ascii="標楷體" w:eastAsia="標楷體" w:hAnsi="標楷體" w:hint="eastAsia"/>
              </w:rPr>
              <w:t>本公司已於2024年12月2日取得ISO 27001證書，並依照相關規範建立、實施、維護和持續改進資訊安全管理系統，以保護資訊資產，降低資訊安全風險，確保資訊的機密性、完整性和可用性。</w:t>
            </w:r>
          </w:p>
        </w:tc>
        <w:tc>
          <w:tcPr>
            <w:tcW w:w="2760" w:type="dxa"/>
            <w:shd w:val="clear" w:color="auto" w:fill="auto"/>
          </w:tcPr>
          <w:p w14:paraId="4DF3EB47" w14:textId="77777777" w:rsidR="00E80604" w:rsidRPr="00F42E22" w:rsidRDefault="00E80604" w:rsidP="00E80604">
            <w:pPr>
              <w:snapToGrid w:val="0"/>
              <w:spacing w:line="276" w:lineRule="auto"/>
              <w:rPr>
                <w:rFonts w:ascii="標楷體" w:eastAsia="標楷體" w:hAnsi="標楷體"/>
              </w:rPr>
            </w:pPr>
            <w:r w:rsidRPr="00F42E22">
              <w:rPr>
                <w:rFonts w:ascii="標楷體" w:eastAsia="標楷體" w:hAnsi="標楷體" w:hint="eastAsia"/>
              </w:rPr>
              <w:t>2024年度伍豐未發生重大資安事故。</w:t>
            </w:r>
          </w:p>
          <w:p w14:paraId="2195E806" w14:textId="77777777" w:rsidR="00E80604" w:rsidRPr="00F42E22" w:rsidRDefault="00E80604" w:rsidP="00E80604">
            <w:pPr>
              <w:snapToGrid w:val="0"/>
              <w:spacing w:line="276" w:lineRule="auto"/>
              <w:rPr>
                <w:rFonts w:ascii="標楷體" w:eastAsia="標楷體" w:hAnsi="標楷體"/>
              </w:rPr>
            </w:pPr>
            <w:r w:rsidRPr="00F42E22">
              <w:rPr>
                <w:rFonts w:ascii="標楷體" w:eastAsia="標楷體" w:hAnsi="標楷體" w:hint="eastAsia"/>
              </w:rPr>
              <w:t>2024年度執行資安相關宣導10次</w:t>
            </w:r>
          </w:p>
          <w:p w14:paraId="0EF2F0DF" w14:textId="77777777" w:rsidR="00E80604" w:rsidRPr="00F42E22" w:rsidRDefault="00E80604" w:rsidP="00E80604">
            <w:pPr>
              <w:snapToGrid w:val="0"/>
              <w:spacing w:line="276" w:lineRule="auto"/>
              <w:rPr>
                <w:rFonts w:ascii="標楷體" w:eastAsia="標楷體" w:hAnsi="標楷體"/>
              </w:rPr>
            </w:pPr>
            <w:r w:rsidRPr="00F42E22">
              <w:rPr>
                <w:rFonts w:ascii="標楷體" w:eastAsia="標楷體" w:hAnsi="標楷體" w:hint="eastAsia"/>
              </w:rPr>
              <w:t>2024年度資安相關e-mail公告次數11次</w:t>
            </w:r>
          </w:p>
          <w:p w14:paraId="5B3D3E59" w14:textId="190F4174" w:rsidR="00F0208B" w:rsidRPr="00F42E22" w:rsidRDefault="00E80604" w:rsidP="00E80604">
            <w:pPr>
              <w:snapToGrid w:val="0"/>
              <w:spacing w:line="276" w:lineRule="auto"/>
              <w:jc w:val="both"/>
              <w:rPr>
                <w:rFonts w:ascii="標楷體" w:eastAsia="標楷體" w:hAnsi="標楷體"/>
              </w:rPr>
            </w:pPr>
            <w:r w:rsidRPr="00F42E22">
              <w:rPr>
                <w:rFonts w:ascii="標楷體" w:eastAsia="標楷體" w:hAnsi="標楷體" w:hint="eastAsia"/>
              </w:rPr>
              <w:t>2024年度實際攔截入侵次數共276,112次</w:t>
            </w:r>
          </w:p>
        </w:tc>
      </w:tr>
      <w:bookmarkEnd w:id="0"/>
    </w:tbl>
    <w:p w14:paraId="5E93FB45" w14:textId="77777777" w:rsidR="00F0208B" w:rsidRPr="001F00C8" w:rsidRDefault="00F0208B" w:rsidP="00F0208B">
      <w:pPr>
        <w:snapToGrid w:val="0"/>
        <w:jc w:val="both"/>
        <w:rPr>
          <w:rFonts w:ascii="標楷體" w:eastAsia="標楷體" w:hAnsi="標楷體"/>
        </w:rPr>
      </w:pPr>
    </w:p>
    <w:p w14:paraId="57F4EBD0" w14:textId="584E1D01" w:rsidR="00E9156B" w:rsidRPr="00017589" w:rsidRDefault="00B12E2C" w:rsidP="00017589">
      <w:pPr>
        <w:pStyle w:val="a9"/>
        <w:numPr>
          <w:ilvl w:val="0"/>
          <w:numId w:val="7"/>
        </w:numPr>
        <w:snapToGrid w:val="0"/>
        <w:spacing w:line="276" w:lineRule="auto"/>
        <w:ind w:leftChars="0"/>
        <w:jc w:val="both"/>
        <w:rPr>
          <w:rFonts w:ascii="標楷體" w:eastAsia="標楷體" w:hAnsi="標楷體"/>
        </w:rPr>
      </w:pPr>
      <w:r w:rsidRPr="00017589">
        <w:rPr>
          <w:rFonts w:ascii="標楷體" w:eastAsia="標楷體" w:hAnsi="標楷體" w:hint="eastAsia"/>
        </w:rPr>
        <w:t>董事會</w:t>
      </w:r>
      <w:r w:rsidR="005E4E57" w:rsidRPr="00017589">
        <w:rPr>
          <w:rFonts w:ascii="標楷體" w:eastAsia="標楷體" w:hAnsi="標楷體" w:hint="eastAsia"/>
        </w:rPr>
        <w:t>對永續發展</w:t>
      </w:r>
      <w:r w:rsidRPr="00017589">
        <w:rPr>
          <w:rFonts w:ascii="標楷體" w:eastAsia="標楷體" w:hAnsi="標楷體" w:hint="eastAsia"/>
        </w:rPr>
        <w:t>督導情形</w:t>
      </w:r>
    </w:p>
    <w:p w14:paraId="66CCF761" w14:textId="3A2CE10F" w:rsidR="00E9156B" w:rsidRPr="001F00C8" w:rsidRDefault="005E4E57" w:rsidP="00017589">
      <w:pPr>
        <w:snapToGrid w:val="0"/>
        <w:spacing w:line="276" w:lineRule="auto"/>
        <w:jc w:val="both"/>
        <w:rPr>
          <w:rFonts w:ascii="標楷體" w:eastAsia="標楷體" w:hAnsi="標楷體"/>
        </w:rPr>
      </w:pPr>
      <w:r w:rsidRPr="001F00C8">
        <w:rPr>
          <w:rFonts w:ascii="標楷體" w:eastAsia="標楷體" w:hAnsi="標楷體" w:hint="eastAsia"/>
        </w:rPr>
        <w:t>本公司董事會每年定期聽取永續發展委員會之報告（包含ESG報告），並針對永續發展策略、方針、目標及行動方案進行檢視並給予調整之建議，以供經營團隊進行調整。</w:t>
      </w:r>
    </w:p>
    <w:sectPr w:rsidR="00E9156B" w:rsidRPr="001F00C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8C3CCC" w14:textId="77777777" w:rsidR="009A39C3" w:rsidRDefault="009A39C3" w:rsidP="00C24218">
      <w:r>
        <w:separator/>
      </w:r>
    </w:p>
  </w:endnote>
  <w:endnote w:type="continuationSeparator" w:id="0">
    <w:p w14:paraId="52BAA0E4" w14:textId="77777777" w:rsidR="009A39C3" w:rsidRDefault="009A39C3" w:rsidP="00C24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03FD93" w14:textId="77777777" w:rsidR="009A39C3" w:rsidRDefault="009A39C3" w:rsidP="00C24218">
      <w:r>
        <w:separator/>
      </w:r>
    </w:p>
  </w:footnote>
  <w:footnote w:type="continuationSeparator" w:id="0">
    <w:p w14:paraId="0CD8D546" w14:textId="77777777" w:rsidR="009A39C3" w:rsidRDefault="009A39C3" w:rsidP="00C242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504E9"/>
    <w:multiLevelType w:val="hybridMultilevel"/>
    <w:tmpl w:val="E688B6C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8F35D9A"/>
    <w:multiLevelType w:val="hybridMultilevel"/>
    <w:tmpl w:val="6F9C2842"/>
    <w:lvl w:ilvl="0" w:tplc="E27AFA80">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F134B8C"/>
    <w:multiLevelType w:val="hybridMultilevel"/>
    <w:tmpl w:val="5C965EE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17160C"/>
    <w:multiLevelType w:val="hybridMultilevel"/>
    <w:tmpl w:val="150E1C9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40CF7844"/>
    <w:multiLevelType w:val="hybridMultilevel"/>
    <w:tmpl w:val="1CC4F33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44AC2C22"/>
    <w:multiLevelType w:val="hybridMultilevel"/>
    <w:tmpl w:val="C1E4D44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4E2C2503"/>
    <w:multiLevelType w:val="hybridMultilevel"/>
    <w:tmpl w:val="3DC8A30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0"/>
  </w:num>
  <w:num w:numId="3">
    <w:abstractNumId w:val="4"/>
  </w:num>
  <w:num w:numId="4">
    <w:abstractNumId w:val="6"/>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56E"/>
    <w:rsid w:val="00017589"/>
    <w:rsid w:val="00073088"/>
    <w:rsid w:val="000C0671"/>
    <w:rsid w:val="000C108E"/>
    <w:rsid w:val="00152539"/>
    <w:rsid w:val="001D256E"/>
    <w:rsid w:val="001D32B7"/>
    <w:rsid w:val="001F00C8"/>
    <w:rsid w:val="00220CD3"/>
    <w:rsid w:val="00277F94"/>
    <w:rsid w:val="002F5C91"/>
    <w:rsid w:val="00374C8E"/>
    <w:rsid w:val="00491BCF"/>
    <w:rsid w:val="004C75C9"/>
    <w:rsid w:val="004E6C46"/>
    <w:rsid w:val="005151BF"/>
    <w:rsid w:val="005302ED"/>
    <w:rsid w:val="00547F07"/>
    <w:rsid w:val="005B6A1E"/>
    <w:rsid w:val="005E4E57"/>
    <w:rsid w:val="00680476"/>
    <w:rsid w:val="006E4E6C"/>
    <w:rsid w:val="00737BE5"/>
    <w:rsid w:val="00820FD8"/>
    <w:rsid w:val="00877EC9"/>
    <w:rsid w:val="00964674"/>
    <w:rsid w:val="00980A0D"/>
    <w:rsid w:val="009A39C3"/>
    <w:rsid w:val="009D5D94"/>
    <w:rsid w:val="00A2658B"/>
    <w:rsid w:val="00A4549D"/>
    <w:rsid w:val="00A66B4F"/>
    <w:rsid w:val="00AB31FD"/>
    <w:rsid w:val="00AE433D"/>
    <w:rsid w:val="00B12E2C"/>
    <w:rsid w:val="00B30852"/>
    <w:rsid w:val="00C24218"/>
    <w:rsid w:val="00C74045"/>
    <w:rsid w:val="00CB3E5C"/>
    <w:rsid w:val="00D507EA"/>
    <w:rsid w:val="00D97A70"/>
    <w:rsid w:val="00DB30EC"/>
    <w:rsid w:val="00DB33DC"/>
    <w:rsid w:val="00E80604"/>
    <w:rsid w:val="00E9156B"/>
    <w:rsid w:val="00EC3126"/>
    <w:rsid w:val="00F0208B"/>
    <w:rsid w:val="00F42E22"/>
    <w:rsid w:val="00F66484"/>
    <w:rsid w:val="00F67F6E"/>
    <w:rsid w:val="00F75490"/>
    <w:rsid w:val="00F80A3E"/>
  </w:rsids>
  <m:mathPr>
    <m:mathFont m:val="Cambria Math"/>
    <m:brkBin m:val="before"/>
    <m:brkBinSub m:val="--"/>
    <m:smallFrac m:val="0"/>
    <m:dispDef/>
    <m:lMargin m:val="0"/>
    <m:rMargin m:val="0"/>
    <m:defJc m:val="centerGroup"/>
    <m:wrapIndent m:val="1440"/>
    <m:intLim m:val="subSup"/>
    <m:naryLim m:val="undOvr"/>
  </m:mathPr>
  <w:themeFontLang w:val="en-US" w:eastAsia="zh-TW"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64043B"/>
  <w15:chartTrackingRefBased/>
  <w15:docId w15:val="{E968F26B-9503-43CB-8B8B-8E6617DB1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730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6E4E6C"/>
    <w:rPr>
      <w:color w:val="0563C1" w:themeColor="hyperlink"/>
      <w:u w:val="single"/>
    </w:rPr>
  </w:style>
  <w:style w:type="character" w:customStyle="1" w:styleId="UnresolvedMention">
    <w:name w:val="Unresolved Mention"/>
    <w:basedOn w:val="a0"/>
    <w:uiPriority w:val="99"/>
    <w:semiHidden/>
    <w:unhideWhenUsed/>
    <w:rsid w:val="006E4E6C"/>
    <w:rPr>
      <w:color w:val="605E5C"/>
      <w:shd w:val="clear" w:color="auto" w:fill="E1DFDD"/>
    </w:rPr>
  </w:style>
  <w:style w:type="paragraph" w:styleId="a5">
    <w:name w:val="header"/>
    <w:basedOn w:val="a"/>
    <w:link w:val="a6"/>
    <w:uiPriority w:val="99"/>
    <w:unhideWhenUsed/>
    <w:rsid w:val="00C24218"/>
    <w:pPr>
      <w:tabs>
        <w:tab w:val="center" w:pos="4153"/>
        <w:tab w:val="right" w:pos="8306"/>
      </w:tabs>
      <w:snapToGrid w:val="0"/>
    </w:pPr>
    <w:rPr>
      <w:sz w:val="20"/>
      <w:szCs w:val="20"/>
    </w:rPr>
  </w:style>
  <w:style w:type="character" w:customStyle="1" w:styleId="a6">
    <w:name w:val="頁首 字元"/>
    <w:basedOn w:val="a0"/>
    <w:link w:val="a5"/>
    <w:uiPriority w:val="99"/>
    <w:rsid w:val="00C24218"/>
    <w:rPr>
      <w:sz w:val="20"/>
      <w:szCs w:val="20"/>
    </w:rPr>
  </w:style>
  <w:style w:type="paragraph" w:styleId="a7">
    <w:name w:val="footer"/>
    <w:basedOn w:val="a"/>
    <w:link w:val="a8"/>
    <w:uiPriority w:val="99"/>
    <w:unhideWhenUsed/>
    <w:rsid w:val="00C24218"/>
    <w:pPr>
      <w:tabs>
        <w:tab w:val="center" w:pos="4153"/>
        <w:tab w:val="right" w:pos="8306"/>
      </w:tabs>
      <w:snapToGrid w:val="0"/>
    </w:pPr>
    <w:rPr>
      <w:sz w:val="20"/>
      <w:szCs w:val="20"/>
    </w:rPr>
  </w:style>
  <w:style w:type="character" w:customStyle="1" w:styleId="a8">
    <w:name w:val="頁尾 字元"/>
    <w:basedOn w:val="a0"/>
    <w:link w:val="a7"/>
    <w:uiPriority w:val="99"/>
    <w:rsid w:val="00C24218"/>
    <w:rPr>
      <w:sz w:val="20"/>
      <w:szCs w:val="20"/>
    </w:rPr>
  </w:style>
  <w:style w:type="paragraph" w:styleId="a9">
    <w:name w:val="List Paragraph"/>
    <w:basedOn w:val="a"/>
    <w:uiPriority w:val="34"/>
    <w:qFormat/>
    <w:rsid w:val="00C2421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772258">
      <w:bodyDiv w:val="1"/>
      <w:marLeft w:val="0"/>
      <w:marRight w:val="0"/>
      <w:marTop w:val="0"/>
      <w:marBottom w:val="0"/>
      <w:divBdr>
        <w:top w:val="none" w:sz="0" w:space="0" w:color="auto"/>
        <w:left w:val="none" w:sz="0" w:space="0" w:color="auto"/>
        <w:bottom w:val="none" w:sz="0" w:space="0" w:color="auto"/>
        <w:right w:val="none" w:sz="0" w:space="0" w:color="auto"/>
      </w:divBdr>
    </w:div>
    <w:div w:id="2123962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346</Words>
  <Characters>1975</Characters>
  <Application>Microsoft Office Word</Application>
  <DocSecurity>0</DocSecurity>
  <Lines>16</Lines>
  <Paragraphs>4</Paragraphs>
  <ScaleCrop>false</ScaleCrop>
  <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claire.lin</dc:creator>
  <cp:keywords/>
  <dc:description/>
  <cp:lastModifiedBy>josie.chou</cp:lastModifiedBy>
  <cp:revision>4</cp:revision>
  <dcterms:created xsi:type="dcterms:W3CDTF">2025-10-29T06:16:00Z</dcterms:created>
  <dcterms:modified xsi:type="dcterms:W3CDTF">2025-10-31T06:23:00Z</dcterms:modified>
</cp:coreProperties>
</file>